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5569"/>
      </w:tblGrid>
      <w:tr w:rsidR="001854DA" w14:paraId="76449C72" w14:textId="77777777" w:rsidTr="001854DA">
        <w:trPr>
          <w:trHeight w:val="486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1276CC01" w14:textId="77777777" w:rsidR="001854DA" w:rsidRDefault="001854DA">
            <w:pPr>
              <w:spacing w:line="256" w:lineRule="auto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FOR IMMEDIATE RELEASE</w:t>
            </w:r>
          </w:p>
          <w:p w14:paraId="727D06FF" w14:textId="77777777" w:rsidR="001854DA" w:rsidRDefault="001854DA">
            <w:pPr>
              <w:spacing w:line="25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Taranis Resources Inc.</w:t>
            </w:r>
          </w:p>
          <w:p w14:paraId="41824D29" w14:textId="77777777" w:rsidR="001854DA" w:rsidRDefault="001854DA">
            <w:pPr>
              <w:spacing w:line="25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681 Conifer Lane</w:t>
            </w:r>
          </w:p>
          <w:p w14:paraId="3ED706B8" w14:textId="77777777" w:rsidR="001854DA" w:rsidRDefault="001854DA">
            <w:pPr>
              <w:spacing w:line="25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Estes Park, Colorado</w:t>
            </w:r>
          </w:p>
          <w:p w14:paraId="5A299F1A" w14:textId="77777777" w:rsidR="001854DA" w:rsidRDefault="001854DA">
            <w:pPr>
              <w:spacing w:line="25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80517</w:t>
            </w:r>
          </w:p>
          <w:p w14:paraId="09C9959F" w14:textId="77777777" w:rsidR="001854DA" w:rsidRDefault="00387F54">
            <w:pPr>
              <w:spacing w:line="256" w:lineRule="auto"/>
              <w:rPr>
                <w:rFonts w:ascii="Verdana" w:hAnsi="Verdana" w:cs="Arial"/>
                <w:sz w:val="20"/>
                <w:szCs w:val="20"/>
              </w:rPr>
            </w:pPr>
            <w:hyperlink r:id="rId5" w:history="1">
              <w:r w:rsidR="001854DA">
                <w:rPr>
                  <w:rStyle w:val="Hyperlink"/>
                  <w:rFonts w:ascii="Verdana" w:hAnsi="Verdana" w:cs="Arial"/>
                  <w:sz w:val="20"/>
                  <w:szCs w:val="20"/>
                </w:rPr>
                <w:t>www.taranisresources.com</w:t>
              </w:r>
            </w:hyperlink>
          </w:p>
          <w:p w14:paraId="157D9AD4" w14:textId="77777777" w:rsidR="001854DA" w:rsidRDefault="001854DA">
            <w:pPr>
              <w:spacing w:line="25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</w:tcPr>
          <w:p w14:paraId="0EA974FC" w14:textId="77777777" w:rsidR="001854DA" w:rsidRDefault="001854DA">
            <w:pPr>
              <w:spacing w:line="25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14:paraId="15F9A358" w14:textId="50203AC7" w:rsidR="001854DA" w:rsidRDefault="001854DA">
            <w:pPr>
              <w:spacing w:line="25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  <w:lang w:val="en-US" w:bidi="ar-SA"/>
              </w:rPr>
              <w:drawing>
                <wp:inline distT="0" distB="0" distL="0" distR="0" wp14:anchorId="4CDB41C4" wp14:editId="1DF4B714">
                  <wp:extent cx="3276600" cy="590550"/>
                  <wp:effectExtent l="0" t="0" r="0" b="0"/>
                  <wp:docPr id="1" name="Picture 1" descr="Tarani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ani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FC1880" w14:textId="77777777" w:rsidR="001854DA" w:rsidRDefault="001854DA">
            <w:pPr>
              <w:spacing w:line="25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73CD57F" w14:textId="77777777" w:rsidR="00F74120" w:rsidRDefault="00F74120" w:rsidP="001861AF">
      <w:pPr>
        <w:rPr>
          <w:rFonts w:asciiTheme="minorHAnsi" w:eastAsia="STHupo" w:hAnsiTheme="minorHAnsi" w:cstheme="minorHAnsi"/>
          <w:b/>
          <w:bCs/>
          <w:sz w:val="28"/>
          <w:szCs w:val="28"/>
          <w:lang w:val="en-US" w:bidi="ar-SA"/>
        </w:rPr>
      </w:pPr>
    </w:p>
    <w:p w14:paraId="33F0870D" w14:textId="48AF48D3" w:rsidR="001861AF" w:rsidRDefault="00947A61" w:rsidP="00F74120">
      <w:pPr>
        <w:jc w:val="center"/>
        <w:rPr>
          <w:rFonts w:asciiTheme="minorHAnsi" w:eastAsia="STHupo" w:hAnsiTheme="minorHAnsi" w:cstheme="minorHAnsi"/>
          <w:b/>
          <w:bCs/>
          <w:sz w:val="28"/>
          <w:szCs w:val="28"/>
          <w:lang w:val="en-US" w:bidi="ar-SA"/>
        </w:rPr>
      </w:pPr>
      <w:r>
        <w:rPr>
          <w:rFonts w:asciiTheme="minorHAnsi" w:eastAsia="STHupo" w:hAnsiTheme="minorHAnsi" w:cstheme="minorHAnsi"/>
          <w:b/>
          <w:bCs/>
          <w:sz w:val="28"/>
          <w:szCs w:val="28"/>
          <w:lang w:val="en-US" w:bidi="ar-SA"/>
        </w:rPr>
        <w:t xml:space="preserve">Taranis </w:t>
      </w:r>
      <w:r w:rsidR="00E13E6D">
        <w:rPr>
          <w:rFonts w:asciiTheme="minorHAnsi" w:eastAsia="STHupo" w:hAnsiTheme="minorHAnsi" w:cstheme="minorHAnsi"/>
          <w:b/>
          <w:bCs/>
          <w:sz w:val="28"/>
          <w:szCs w:val="28"/>
          <w:lang w:val="en-US" w:bidi="ar-SA"/>
        </w:rPr>
        <w:t>Initiates Search for</w:t>
      </w:r>
      <w:r>
        <w:rPr>
          <w:rFonts w:asciiTheme="minorHAnsi" w:eastAsia="STHupo" w:hAnsiTheme="minorHAnsi" w:cstheme="minorHAnsi"/>
          <w:b/>
          <w:bCs/>
          <w:sz w:val="28"/>
          <w:szCs w:val="28"/>
          <w:lang w:val="en-US" w:bidi="ar-SA"/>
        </w:rPr>
        <w:t xml:space="preserve"> </w:t>
      </w:r>
      <w:r w:rsidR="00E13E6D">
        <w:rPr>
          <w:rFonts w:asciiTheme="minorHAnsi" w:eastAsia="STHupo" w:hAnsiTheme="minorHAnsi" w:cstheme="minorHAnsi"/>
          <w:b/>
          <w:bCs/>
          <w:sz w:val="28"/>
          <w:szCs w:val="28"/>
          <w:lang w:val="en-US" w:bidi="ar-SA"/>
        </w:rPr>
        <w:t>Concealed</w:t>
      </w:r>
      <w:r>
        <w:rPr>
          <w:rFonts w:asciiTheme="minorHAnsi" w:eastAsia="STHupo" w:hAnsiTheme="minorHAnsi" w:cstheme="minorHAnsi"/>
          <w:b/>
          <w:bCs/>
          <w:sz w:val="28"/>
          <w:szCs w:val="28"/>
          <w:lang w:val="en-US" w:bidi="ar-SA"/>
        </w:rPr>
        <w:t xml:space="preserve"> </w:t>
      </w:r>
      <w:r w:rsidR="00BB091F">
        <w:rPr>
          <w:rFonts w:asciiTheme="minorHAnsi" w:eastAsia="STHupo" w:hAnsiTheme="minorHAnsi" w:cstheme="minorHAnsi"/>
          <w:b/>
          <w:bCs/>
          <w:sz w:val="28"/>
          <w:szCs w:val="28"/>
          <w:lang w:val="en-US" w:bidi="ar-SA"/>
        </w:rPr>
        <w:t>Intrusive</w:t>
      </w:r>
      <w:r>
        <w:rPr>
          <w:rFonts w:asciiTheme="minorHAnsi" w:eastAsia="STHupo" w:hAnsiTheme="minorHAnsi" w:cstheme="minorHAnsi"/>
          <w:b/>
          <w:bCs/>
          <w:sz w:val="28"/>
          <w:szCs w:val="28"/>
          <w:lang w:val="en-US" w:bidi="ar-SA"/>
        </w:rPr>
        <w:t xml:space="preserve"> Target</w:t>
      </w:r>
      <w:r w:rsidR="00E13E6D">
        <w:rPr>
          <w:rFonts w:asciiTheme="minorHAnsi" w:eastAsia="STHupo" w:hAnsiTheme="minorHAnsi" w:cstheme="minorHAnsi"/>
          <w:b/>
          <w:bCs/>
          <w:sz w:val="28"/>
          <w:szCs w:val="28"/>
          <w:lang w:val="en-US" w:bidi="ar-SA"/>
        </w:rPr>
        <w:t>, Postulates Link to Thor Epithermal Resource</w:t>
      </w:r>
    </w:p>
    <w:p w14:paraId="56A956FE" w14:textId="77777777" w:rsidR="00F74120" w:rsidRPr="001861AF" w:rsidRDefault="00F74120" w:rsidP="001861AF">
      <w:pPr>
        <w:rPr>
          <w:rFonts w:asciiTheme="minorHAnsi" w:eastAsia="STHupo" w:hAnsiTheme="minorHAnsi" w:cstheme="minorHAnsi"/>
          <w:b/>
          <w:bCs/>
          <w:sz w:val="28"/>
          <w:szCs w:val="28"/>
          <w:lang w:val="en-US" w:bidi="ar-SA"/>
        </w:rPr>
      </w:pPr>
    </w:p>
    <w:p w14:paraId="72DDBA57" w14:textId="062F109B" w:rsidR="00E13E6D" w:rsidRDefault="001854DA" w:rsidP="00741528">
      <w:pPr>
        <w:spacing w:after="240"/>
        <w:jc w:val="both"/>
      </w:pPr>
      <w:r>
        <w:rPr>
          <w:b/>
          <w:bCs/>
        </w:rPr>
        <w:t xml:space="preserve">Estes Park, Colorado, </w:t>
      </w:r>
      <w:r w:rsidR="00F74120">
        <w:rPr>
          <w:b/>
          <w:bCs/>
        </w:rPr>
        <w:t xml:space="preserve">February </w:t>
      </w:r>
      <w:r w:rsidR="00CB18F1">
        <w:rPr>
          <w:b/>
          <w:bCs/>
        </w:rPr>
        <w:t>2</w:t>
      </w:r>
      <w:r w:rsidR="00B9466E">
        <w:rPr>
          <w:b/>
          <w:bCs/>
        </w:rPr>
        <w:t>3</w:t>
      </w:r>
      <w:r>
        <w:rPr>
          <w:b/>
          <w:bCs/>
        </w:rPr>
        <w:t>, 202</w:t>
      </w:r>
      <w:r w:rsidR="00741528">
        <w:rPr>
          <w:b/>
          <w:bCs/>
        </w:rPr>
        <w:t>2</w:t>
      </w:r>
      <w:r>
        <w:rPr>
          <w:b/>
          <w:bCs/>
        </w:rPr>
        <w:t xml:space="preserve"> </w:t>
      </w:r>
      <w:r>
        <w:t xml:space="preserve">– Taranis Resources Inc. (“Taranis” or the “Company”) [TSX.V: </w:t>
      </w:r>
      <w:smartTag w:uri="urn:schemas-microsoft-com:office:smarttags" w:element="stockticker">
        <w:r>
          <w:t>TRO</w:t>
        </w:r>
      </w:smartTag>
      <w:r>
        <w:t xml:space="preserve">, OTCQB: TNREF] </w:t>
      </w:r>
      <w:r w:rsidR="007D485C">
        <w:t xml:space="preserve">is providing </w:t>
      </w:r>
      <w:r w:rsidR="002574C7">
        <w:t>an exploration update</w:t>
      </w:r>
      <w:r w:rsidR="00BC2C35">
        <w:t xml:space="preserve"> on its</w:t>
      </w:r>
      <w:r w:rsidR="00430D29">
        <w:t xml:space="preserve"> 100%-owned </w:t>
      </w:r>
      <w:r w:rsidR="00C842FE">
        <w:t xml:space="preserve">Thor </w:t>
      </w:r>
      <w:r w:rsidR="00430D29">
        <w:t>precious-base metal deposit located near T</w:t>
      </w:r>
      <w:r w:rsidR="00642D67">
        <w:t>r</w:t>
      </w:r>
      <w:r w:rsidR="00430D29">
        <w:t>out Lake, British Columbia.</w:t>
      </w:r>
      <w:r w:rsidR="009C28E4">
        <w:t xml:space="preserve"> </w:t>
      </w:r>
    </w:p>
    <w:p w14:paraId="503E26A5" w14:textId="6388E117" w:rsidR="008306F8" w:rsidRDefault="00E13E6D" w:rsidP="00741528">
      <w:pPr>
        <w:spacing w:after="240"/>
        <w:jc w:val="both"/>
      </w:pPr>
      <w:r>
        <w:t xml:space="preserve">Following discovery of the </w:t>
      </w:r>
      <w:r w:rsidR="00535C80">
        <w:t>Thunder Zone</w:t>
      </w:r>
      <w:r>
        <w:t xml:space="preserve"> (a new epithermal vein in the </w:t>
      </w:r>
      <w:r w:rsidR="0012547B">
        <w:t>“Thor Fault Zone”</w:t>
      </w:r>
      <w:r w:rsidR="009679B4">
        <w:t>)</w:t>
      </w:r>
      <w:r>
        <w:t>,</w:t>
      </w:r>
      <w:r w:rsidR="00535C80">
        <w:t xml:space="preserve"> Taranis </w:t>
      </w:r>
      <w:r w:rsidR="00084AEB">
        <w:t>is shifting</w:t>
      </w:r>
      <w:r w:rsidR="00535C80">
        <w:t xml:space="preserve"> its </w:t>
      </w:r>
      <w:r w:rsidR="009679B4">
        <w:t xml:space="preserve">discovery skills </w:t>
      </w:r>
      <w:r w:rsidR="00535C80">
        <w:t xml:space="preserve">to </w:t>
      </w:r>
      <w:r w:rsidR="0029183F">
        <w:t xml:space="preserve">the </w:t>
      </w:r>
      <w:r w:rsidR="00757C3C">
        <w:t>“</w:t>
      </w:r>
      <w:r w:rsidR="00535C80">
        <w:t>Intrusive Target</w:t>
      </w:r>
      <w:r w:rsidR="00757C3C">
        <w:t>”</w:t>
      </w:r>
      <w:r w:rsidR="00976FBD">
        <w:t xml:space="preserve"> </w:t>
      </w:r>
      <w:r w:rsidR="00535C80">
        <w:t>at Thor.</w:t>
      </w:r>
      <w:r w:rsidR="002574C7">
        <w:t xml:space="preserve"> Discovery of the Thunder Zone in </w:t>
      </w:r>
      <w:r w:rsidR="008306F8">
        <w:t xml:space="preserve">the predicted location has increased the </w:t>
      </w:r>
      <w:r w:rsidR="00741528">
        <w:t>C</w:t>
      </w:r>
      <w:r w:rsidR="008306F8">
        <w:t xml:space="preserve">ompany’s confidence in the </w:t>
      </w:r>
      <w:r w:rsidR="00084AEB">
        <w:t>reliability</w:t>
      </w:r>
      <w:r w:rsidR="008306F8">
        <w:t xml:space="preserve"> of its geological model.</w:t>
      </w:r>
      <w:r w:rsidR="00722AD1">
        <w:t xml:space="preserve"> Successful discovery of an underlying porphyry body </w:t>
      </w:r>
      <w:r w:rsidR="009679B4">
        <w:t xml:space="preserve">is the largest exploration target at Thor and </w:t>
      </w:r>
      <w:r w:rsidR="00722AD1">
        <w:t xml:space="preserve">would </w:t>
      </w:r>
      <w:r w:rsidR="00F51C83">
        <w:t>solve</w:t>
      </w:r>
      <w:r w:rsidR="00722AD1">
        <w:t xml:space="preserve"> th</w:t>
      </w:r>
      <w:r w:rsidR="009679B4">
        <w:t>e</w:t>
      </w:r>
      <w:r w:rsidR="00722AD1">
        <w:t xml:space="preserve"> </w:t>
      </w:r>
      <w:r w:rsidR="009679B4">
        <w:t xml:space="preserve">geological </w:t>
      </w:r>
      <w:r w:rsidR="00722AD1">
        <w:t xml:space="preserve">model’s </w:t>
      </w:r>
      <w:r w:rsidR="00741528">
        <w:t>most significant</w:t>
      </w:r>
      <w:r w:rsidR="00722AD1">
        <w:t xml:space="preserve"> outstanding </w:t>
      </w:r>
      <w:r w:rsidR="0012547B">
        <w:t>mystery and</w:t>
      </w:r>
      <w:r w:rsidR="00F51C83">
        <w:t xml:space="preserve"> find</w:t>
      </w:r>
      <w:r w:rsidR="00722AD1">
        <w:t xml:space="preserve"> the </w:t>
      </w:r>
      <w:r w:rsidR="00F51C83">
        <w:t xml:space="preserve">heat </w:t>
      </w:r>
      <w:r w:rsidR="00722AD1">
        <w:t xml:space="preserve">source of the </w:t>
      </w:r>
      <w:r w:rsidR="00F51C83">
        <w:t>entire epithermal system at Thor.</w:t>
      </w:r>
    </w:p>
    <w:p w14:paraId="32DA0392" w14:textId="153016E9" w:rsidR="005A384E" w:rsidRPr="00F74120" w:rsidRDefault="00535C80" w:rsidP="00741528">
      <w:pPr>
        <w:spacing w:after="240"/>
        <w:jc w:val="both"/>
      </w:pPr>
      <w:r>
        <w:t>Unlike the Thunder Zone discovery, the I</w:t>
      </w:r>
      <w:r w:rsidR="00757C3C">
        <w:t>ntrusive</w:t>
      </w:r>
      <w:r>
        <w:t xml:space="preserve"> Target </w:t>
      </w:r>
      <w:r w:rsidR="00757C3C">
        <w:t xml:space="preserve">will </w:t>
      </w:r>
      <w:r>
        <w:t>require</w:t>
      </w:r>
      <w:r w:rsidR="00757C3C">
        <w:t xml:space="preserve"> completion of</w:t>
      </w:r>
      <w:r>
        <w:t xml:space="preserve"> extensive</w:t>
      </w:r>
      <w:r w:rsidR="00757C3C">
        <w:t xml:space="preserve"> airborne</w:t>
      </w:r>
      <w:r>
        <w:t xml:space="preserve"> geophysical surveying</w:t>
      </w:r>
      <w:r w:rsidR="0029183F">
        <w:t xml:space="preserve"> within the next several months</w:t>
      </w:r>
      <w:r w:rsidR="00084AEB">
        <w:t>,</w:t>
      </w:r>
      <w:r w:rsidR="0029183F">
        <w:t xml:space="preserve"> </w:t>
      </w:r>
      <w:r w:rsidR="00445F7D">
        <w:t xml:space="preserve">as </w:t>
      </w:r>
      <w:r w:rsidR="0029183F">
        <w:t>detailed</w:t>
      </w:r>
      <w:r>
        <w:t xml:space="preserve"> in the Company’s January 31, </w:t>
      </w:r>
      <w:proofErr w:type="gramStart"/>
      <w:r w:rsidR="00F56F29">
        <w:t>2022</w:t>
      </w:r>
      <w:proofErr w:type="gramEnd"/>
      <w:r>
        <w:t xml:space="preserve"> News Release.</w:t>
      </w:r>
    </w:p>
    <w:p w14:paraId="469DC8F8" w14:textId="617CC332" w:rsidR="002574C7" w:rsidRDefault="00B25B25" w:rsidP="00741528">
      <w:pPr>
        <w:spacing w:after="160" w:line="259" w:lineRule="auto"/>
        <w:jc w:val="both"/>
        <w:rPr>
          <w:rFonts w:eastAsiaTheme="minorHAnsi"/>
          <w:lang w:val="en-US" w:bidi="ar-SA"/>
        </w:rPr>
      </w:pPr>
      <w:r>
        <w:rPr>
          <w:rFonts w:eastAsiaTheme="minorHAnsi"/>
          <w:lang w:val="en-US" w:bidi="ar-SA"/>
        </w:rPr>
        <w:t>In preparation for the upcoming survey, T</w:t>
      </w:r>
      <w:r w:rsidR="00F74120" w:rsidRPr="00F74120">
        <w:rPr>
          <w:rFonts w:eastAsiaTheme="minorHAnsi"/>
          <w:lang w:val="en-US" w:bidi="ar-SA"/>
        </w:rPr>
        <w:t xml:space="preserve">aranis has </w:t>
      </w:r>
      <w:r w:rsidR="008306F8">
        <w:rPr>
          <w:rFonts w:eastAsiaTheme="minorHAnsi"/>
          <w:lang w:val="en-US" w:bidi="ar-SA"/>
        </w:rPr>
        <w:t>prepared</w:t>
      </w:r>
      <w:r w:rsidR="00F74120" w:rsidRPr="00F74120">
        <w:rPr>
          <w:rFonts w:eastAsiaTheme="minorHAnsi"/>
          <w:lang w:val="en-US" w:bidi="ar-SA"/>
        </w:rPr>
        <w:t xml:space="preserve"> a geological map of a</w:t>
      </w:r>
      <w:r w:rsidR="00757C3C">
        <w:rPr>
          <w:rFonts w:eastAsiaTheme="minorHAnsi"/>
          <w:lang w:val="en-US" w:bidi="ar-SA"/>
        </w:rPr>
        <w:t xml:space="preserve"> large</w:t>
      </w:r>
      <w:r w:rsidR="00F74120" w:rsidRPr="00F74120">
        <w:rPr>
          <w:rFonts w:eastAsiaTheme="minorHAnsi"/>
          <w:lang w:val="en-US" w:bidi="ar-SA"/>
        </w:rPr>
        <w:t xml:space="preserve"> portion of the Thor property</w:t>
      </w:r>
      <w:r w:rsidR="00757C3C">
        <w:rPr>
          <w:rFonts w:eastAsiaTheme="minorHAnsi"/>
          <w:lang w:val="en-US" w:bidi="ar-SA"/>
        </w:rPr>
        <w:t>, summarizing</w:t>
      </w:r>
      <w:r w:rsidR="00FE7A74">
        <w:rPr>
          <w:rFonts w:eastAsiaTheme="minorHAnsi"/>
          <w:lang w:val="en-US" w:bidi="ar-SA"/>
        </w:rPr>
        <w:t xml:space="preserve"> </w:t>
      </w:r>
      <w:r w:rsidR="00285EC6">
        <w:rPr>
          <w:rFonts w:eastAsiaTheme="minorHAnsi"/>
          <w:lang w:val="en-US" w:bidi="ar-SA"/>
        </w:rPr>
        <w:t>14 ye</w:t>
      </w:r>
      <w:r w:rsidR="00BC2C35">
        <w:rPr>
          <w:rFonts w:eastAsiaTheme="minorHAnsi"/>
          <w:lang w:val="en-US" w:bidi="ar-SA"/>
        </w:rPr>
        <w:t>a</w:t>
      </w:r>
      <w:r w:rsidR="00285EC6">
        <w:rPr>
          <w:rFonts w:eastAsiaTheme="minorHAnsi"/>
          <w:lang w:val="en-US" w:bidi="ar-SA"/>
        </w:rPr>
        <w:t xml:space="preserve">rs of exploration </w:t>
      </w:r>
      <w:r w:rsidR="00757C3C">
        <w:rPr>
          <w:rFonts w:eastAsiaTheme="minorHAnsi"/>
          <w:lang w:val="en-US" w:bidi="ar-SA"/>
        </w:rPr>
        <w:t>data</w:t>
      </w:r>
      <w:r w:rsidR="00F74120" w:rsidRPr="00F74120">
        <w:rPr>
          <w:rFonts w:eastAsiaTheme="minorHAnsi"/>
          <w:lang w:val="en-US" w:bidi="ar-SA"/>
        </w:rPr>
        <w:t xml:space="preserve">. </w:t>
      </w:r>
      <w:r w:rsidR="00285EC6">
        <w:rPr>
          <w:rFonts w:eastAsiaTheme="minorHAnsi"/>
          <w:lang w:val="en-US" w:bidi="ar-SA"/>
        </w:rPr>
        <w:t xml:space="preserve">It </w:t>
      </w:r>
      <w:r w:rsidR="00F74120" w:rsidRPr="00F74120">
        <w:rPr>
          <w:rFonts w:eastAsiaTheme="minorHAnsi"/>
          <w:lang w:val="en-US" w:bidi="ar-SA"/>
        </w:rPr>
        <w:t xml:space="preserve">can be viewed on the </w:t>
      </w:r>
      <w:r w:rsidR="00741528">
        <w:rPr>
          <w:rFonts w:eastAsiaTheme="minorHAnsi"/>
          <w:lang w:val="en-US" w:bidi="ar-SA"/>
        </w:rPr>
        <w:t>C</w:t>
      </w:r>
      <w:r w:rsidR="00F74120" w:rsidRPr="00F74120">
        <w:rPr>
          <w:rFonts w:eastAsiaTheme="minorHAnsi"/>
          <w:lang w:val="en-US" w:bidi="ar-SA"/>
        </w:rPr>
        <w:t xml:space="preserve">ompany’s website at </w:t>
      </w:r>
      <w:hyperlink r:id="rId7" w:history="1">
        <w:r w:rsidR="00FE7A74" w:rsidRPr="00DC527B">
          <w:rPr>
            <w:rStyle w:val="Hyperlink"/>
            <w:rFonts w:eastAsiaTheme="minorHAnsi"/>
            <w:lang w:val="en-US" w:bidi="ar-SA"/>
          </w:rPr>
          <w:t>https://www.jjgmining.com/geologymap.html</w:t>
        </w:r>
      </w:hyperlink>
      <w:r w:rsidR="00757C3C">
        <w:rPr>
          <w:rFonts w:eastAsiaTheme="minorHAnsi"/>
          <w:lang w:val="en-US" w:bidi="ar-SA"/>
        </w:rPr>
        <w:t>. Th</w:t>
      </w:r>
      <w:r w:rsidR="00F51C83">
        <w:rPr>
          <w:rFonts w:eastAsiaTheme="minorHAnsi"/>
          <w:lang w:val="en-US" w:bidi="ar-SA"/>
        </w:rPr>
        <w:t>e</w:t>
      </w:r>
      <w:r w:rsidR="00757C3C">
        <w:rPr>
          <w:rFonts w:eastAsiaTheme="minorHAnsi"/>
          <w:lang w:val="en-US" w:bidi="ar-SA"/>
        </w:rPr>
        <w:t xml:space="preserve"> map</w:t>
      </w:r>
      <w:r w:rsidR="00F74120" w:rsidRPr="00F74120">
        <w:rPr>
          <w:rFonts w:eastAsiaTheme="minorHAnsi"/>
          <w:lang w:val="en-US" w:bidi="ar-SA"/>
        </w:rPr>
        <w:t xml:space="preserve"> provides </w:t>
      </w:r>
      <w:r w:rsidR="00285EC6">
        <w:rPr>
          <w:rFonts w:eastAsiaTheme="minorHAnsi"/>
          <w:lang w:val="en-US" w:bidi="ar-SA"/>
        </w:rPr>
        <w:t>perspective</w:t>
      </w:r>
      <w:r w:rsidR="00F74120" w:rsidRPr="00F74120">
        <w:rPr>
          <w:rFonts w:eastAsiaTheme="minorHAnsi"/>
          <w:lang w:val="en-US" w:bidi="ar-SA"/>
        </w:rPr>
        <w:t xml:space="preserve"> of the </w:t>
      </w:r>
      <w:r w:rsidR="008306F8">
        <w:rPr>
          <w:rFonts w:eastAsiaTheme="minorHAnsi"/>
          <w:lang w:val="en-US" w:bidi="ar-SA"/>
        </w:rPr>
        <w:t>&gt;</w:t>
      </w:r>
      <w:r w:rsidR="00741528">
        <w:rPr>
          <w:rFonts w:eastAsiaTheme="minorHAnsi"/>
          <w:lang w:val="en-US" w:bidi="ar-SA"/>
        </w:rPr>
        <w:t xml:space="preserve"> </w:t>
      </w:r>
      <w:r w:rsidR="00F74120" w:rsidRPr="00F74120">
        <w:rPr>
          <w:rFonts w:eastAsiaTheme="minorHAnsi"/>
          <w:lang w:val="en-US" w:bidi="ar-SA"/>
        </w:rPr>
        <w:t>2</w:t>
      </w:r>
      <w:r w:rsidR="004B510A">
        <w:rPr>
          <w:rFonts w:eastAsiaTheme="minorHAnsi"/>
          <w:lang w:val="en-US" w:bidi="ar-SA"/>
        </w:rPr>
        <w:t xml:space="preserve"> </w:t>
      </w:r>
      <w:r w:rsidR="00F74120" w:rsidRPr="00F74120">
        <w:rPr>
          <w:rFonts w:eastAsiaTheme="minorHAnsi"/>
          <w:lang w:val="en-US" w:bidi="ar-SA"/>
        </w:rPr>
        <w:t>km</w:t>
      </w:r>
      <w:r w:rsidR="00757C3C">
        <w:rPr>
          <w:rFonts w:eastAsiaTheme="minorHAnsi"/>
          <w:lang w:val="en-US" w:bidi="ar-SA"/>
        </w:rPr>
        <w:t xml:space="preserve"> </w:t>
      </w:r>
      <w:r w:rsidR="00F74120" w:rsidRPr="00F74120">
        <w:rPr>
          <w:rFonts w:eastAsiaTheme="minorHAnsi"/>
          <w:lang w:val="en-US" w:bidi="ar-SA"/>
        </w:rPr>
        <w:t xml:space="preserve">long epithermal deposit </w:t>
      </w:r>
      <w:r w:rsidR="00285EC6">
        <w:rPr>
          <w:rFonts w:eastAsiaTheme="minorHAnsi"/>
          <w:lang w:val="en-US" w:bidi="ar-SA"/>
        </w:rPr>
        <w:t xml:space="preserve">that has been </w:t>
      </w:r>
      <w:r w:rsidR="00A20EEB">
        <w:rPr>
          <w:rFonts w:eastAsiaTheme="minorHAnsi"/>
          <w:lang w:val="en-US" w:bidi="ar-SA"/>
        </w:rPr>
        <w:t xml:space="preserve">largely </w:t>
      </w:r>
      <w:r w:rsidR="00757C3C">
        <w:rPr>
          <w:rFonts w:eastAsiaTheme="minorHAnsi"/>
          <w:lang w:val="en-US" w:bidi="ar-SA"/>
        </w:rPr>
        <w:t>systematically drilled</w:t>
      </w:r>
      <w:r w:rsidR="00F51C83">
        <w:rPr>
          <w:rFonts w:eastAsiaTheme="minorHAnsi"/>
          <w:lang w:val="en-US" w:bidi="ar-SA"/>
        </w:rPr>
        <w:t>,</w:t>
      </w:r>
      <w:r w:rsidR="008306F8">
        <w:rPr>
          <w:rFonts w:eastAsiaTheme="minorHAnsi"/>
          <w:lang w:val="en-US" w:bidi="ar-SA"/>
        </w:rPr>
        <w:t xml:space="preserve"> </w:t>
      </w:r>
      <w:r w:rsidR="00F51C83">
        <w:rPr>
          <w:rFonts w:eastAsiaTheme="minorHAnsi"/>
          <w:lang w:val="en-US" w:bidi="ar-SA"/>
        </w:rPr>
        <w:t>remaining</w:t>
      </w:r>
      <w:r w:rsidR="008306F8">
        <w:rPr>
          <w:rFonts w:eastAsiaTheme="minorHAnsi"/>
          <w:lang w:val="en-US" w:bidi="ar-SA"/>
        </w:rPr>
        <w:t xml:space="preserve"> open to the </w:t>
      </w:r>
      <w:r w:rsidR="00F51C83">
        <w:rPr>
          <w:rFonts w:eastAsiaTheme="minorHAnsi"/>
          <w:lang w:val="en-US" w:bidi="ar-SA"/>
        </w:rPr>
        <w:t>n</w:t>
      </w:r>
      <w:r w:rsidR="008306F8">
        <w:rPr>
          <w:rFonts w:eastAsiaTheme="minorHAnsi"/>
          <w:lang w:val="en-US" w:bidi="ar-SA"/>
        </w:rPr>
        <w:t xml:space="preserve">orthwest via the Thunder Zone and </w:t>
      </w:r>
      <w:r w:rsidR="00F51C83">
        <w:rPr>
          <w:rFonts w:eastAsiaTheme="minorHAnsi"/>
          <w:lang w:val="en-US" w:bidi="ar-SA"/>
        </w:rPr>
        <w:t xml:space="preserve">any subsequent veins </w:t>
      </w:r>
      <w:r w:rsidR="008306F8">
        <w:rPr>
          <w:rFonts w:eastAsiaTheme="minorHAnsi"/>
          <w:lang w:val="en-US" w:bidi="ar-SA"/>
        </w:rPr>
        <w:t xml:space="preserve">beyond. </w:t>
      </w:r>
      <w:r w:rsidR="00722AD1">
        <w:rPr>
          <w:rFonts w:eastAsiaTheme="minorHAnsi"/>
          <w:lang w:val="en-US" w:bidi="ar-SA"/>
        </w:rPr>
        <w:t>Crucially, the map details the</w:t>
      </w:r>
      <w:r w:rsidR="00757C3C">
        <w:rPr>
          <w:rFonts w:eastAsiaTheme="minorHAnsi"/>
          <w:lang w:val="en-US" w:bidi="ar-SA"/>
        </w:rPr>
        <w:t xml:space="preserve"> epithermal system’s</w:t>
      </w:r>
      <w:r w:rsidR="00EF5149">
        <w:rPr>
          <w:rFonts w:eastAsiaTheme="minorHAnsi"/>
          <w:lang w:val="en-US" w:bidi="ar-SA"/>
        </w:rPr>
        <w:t xml:space="preserve"> relationship to other important features</w:t>
      </w:r>
      <w:r w:rsidR="00F74120" w:rsidRPr="00F74120">
        <w:rPr>
          <w:rFonts w:eastAsiaTheme="minorHAnsi"/>
          <w:lang w:val="en-US" w:bidi="ar-SA"/>
        </w:rPr>
        <w:t xml:space="preserve">. </w:t>
      </w:r>
    </w:p>
    <w:p w14:paraId="33CC14D1" w14:textId="5244224A" w:rsidR="00F74120" w:rsidRDefault="00976FBD" w:rsidP="00741528">
      <w:pPr>
        <w:spacing w:after="160" w:line="259" w:lineRule="auto"/>
        <w:jc w:val="both"/>
        <w:rPr>
          <w:rFonts w:eastAsiaTheme="minorHAnsi"/>
          <w:lang w:val="en-US" w:bidi="ar-SA"/>
        </w:rPr>
      </w:pPr>
      <w:r>
        <w:rPr>
          <w:rFonts w:eastAsiaTheme="minorHAnsi"/>
          <w:lang w:val="en-US" w:bidi="ar-SA"/>
        </w:rPr>
        <w:t>A</w:t>
      </w:r>
      <w:r w:rsidR="00F74120" w:rsidRPr="00F74120">
        <w:rPr>
          <w:rFonts w:eastAsiaTheme="minorHAnsi"/>
          <w:lang w:val="en-US" w:bidi="ar-SA"/>
        </w:rPr>
        <w:t xml:space="preserve"> cross-section </w:t>
      </w:r>
      <w:r w:rsidR="00F56F29">
        <w:rPr>
          <w:rFonts w:eastAsiaTheme="minorHAnsi"/>
          <w:lang w:val="en-US" w:bidi="ar-SA"/>
        </w:rPr>
        <w:t xml:space="preserve">graphically demonstrates </w:t>
      </w:r>
      <w:r w:rsidR="002F7009">
        <w:rPr>
          <w:rFonts w:eastAsiaTheme="minorHAnsi"/>
          <w:lang w:val="en-US" w:bidi="ar-SA"/>
        </w:rPr>
        <w:t xml:space="preserve">the </w:t>
      </w:r>
      <w:r w:rsidR="00F51C83">
        <w:rPr>
          <w:rFonts w:eastAsiaTheme="minorHAnsi"/>
          <w:lang w:val="en-US" w:bidi="ar-SA"/>
        </w:rPr>
        <w:t xml:space="preserve">theoretical </w:t>
      </w:r>
      <w:r w:rsidR="00FE7A74">
        <w:rPr>
          <w:rFonts w:eastAsiaTheme="minorHAnsi"/>
          <w:lang w:val="en-US" w:bidi="ar-SA"/>
        </w:rPr>
        <w:t>connection</w:t>
      </w:r>
      <w:r w:rsidR="002F7009">
        <w:rPr>
          <w:rFonts w:eastAsiaTheme="minorHAnsi"/>
          <w:lang w:val="en-US" w:bidi="ar-SA"/>
        </w:rPr>
        <w:t xml:space="preserve"> of the epithermal deposits to </w:t>
      </w:r>
      <w:r w:rsidR="008E34BB">
        <w:rPr>
          <w:rFonts w:eastAsiaTheme="minorHAnsi"/>
          <w:lang w:val="en-US" w:bidi="ar-SA"/>
        </w:rPr>
        <w:t xml:space="preserve">other </w:t>
      </w:r>
      <w:r w:rsidR="002F7009">
        <w:rPr>
          <w:rFonts w:eastAsiaTheme="minorHAnsi"/>
          <w:lang w:val="en-US" w:bidi="ar-SA"/>
        </w:rPr>
        <w:t xml:space="preserve">important </w:t>
      </w:r>
      <w:r w:rsidR="008E34BB">
        <w:rPr>
          <w:rFonts w:eastAsiaTheme="minorHAnsi"/>
          <w:lang w:val="en-US" w:bidi="ar-SA"/>
        </w:rPr>
        <w:t>exploration features</w:t>
      </w:r>
      <w:r>
        <w:rPr>
          <w:rFonts w:eastAsiaTheme="minorHAnsi"/>
          <w:lang w:val="en-US" w:bidi="ar-SA"/>
        </w:rPr>
        <w:t xml:space="preserve"> </w:t>
      </w:r>
      <w:r w:rsidR="00EA2A20">
        <w:rPr>
          <w:rFonts w:eastAsiaTheme="minorHAnsi"/>
          <w:lang w:val="en-US" w:bidi="ar-SA"/>
        </w:rPr>
        <w:t>(</w:t>
      </w:r>
      <w:hyperlink r:id="rId8" w:history="1">
        <w:r w:rsidR="00EA2A20" w:rsidRPr="00B554DF">
          <w:rPr>
            <w:rStyle w:val="Hyperlink"/>
            <w:rFonts w:eastAsiaTheme="minorHAnsi"/>
            <w:lang w:val="en-US" w:bidi="ar-SA"/>
          </w:rPr>
          <w:t>https://www.jjgmining.com/crosssection.html</w:t>
        </w:r>
      </w:hyperlink>
      <w:r w:rsidR="00EA2A20">
        <w:rPr>
          <w:rFonts w:eastAsiaTheme="minorHAnsi"/>
          <w:lang w:val="en-US" w:bidi="ar-SA"/>
        </w:rPr>
        <w:t>).</w:t>
      </w:r>
    </w:p>
    <w:p w14:paraId="45C71127" w14:textId="29E08754" w:rsidR="00570A9C" w:rsidRPr="00F74120" w:rsidRDefault="00F74120" w:rsidP="00741528">
      <w:pPr>
        <w:spacing w:after="160" w:line="259" w:lineRule="auto"/>
        <w:jc w:val="both"/>
        <w:rPr>
          <w:rFonts w:eastAsiaTheme="minorHAnsi"/>
          <w:lang w:val="en-US" w:bidi="ar-SA"/>
        </w:rPr>
      </w:pPr>
      <w:r w:rsidRPr="00F74120">
        <w:rPr>
          <w:rFonts w:eastAsiaTheme="minorHAnsi"/>
          <w:lang w:val="en-US" w:bidi="ar-SA"/>
        </w:rPr>
        <w:t>Th</w:t>
      </w:r>
      <w:r w:rsidR="00BC2C35">
        <w:rPr>
          <w:rFonts w:eastAsiaTheme="minorHAnsi"/>
          <w:lang w:val="en-US" w:bidi="ar-SA"/>
        </w:rPr>
        <w:t>e</w:t>
      </w:r>
      <w:r w:rsidRPr="00F74120">
        <w:rPr>
          <w:rFonts w:eastAsiaTheme="minorHAnsi"/>
          <w:lang w:val="en-US" w:bidi="ar-SA"/>
        </w:rPr>
        <w:t xml:space="preserve"> </w:t>
      </w:r>
      <w:r w:rsidR="00A85417">
        <w:rPr>
          <w:rFonts w:eastAsiaTheme="minorHAnsi"/>
          <w:lang w:val="en-US" w:bidi="ar-SA"/>
        </w:rPr>
        <w:t>geological</w:t>
      </w:r>
      <w:r w:rsidR="00EF5149">
        <w:rPr>
          <w:rFonts w:eastAsiaTheme="minorHAnsi"/>
          <w:lang w:val="en-US" w:bidi="ar-SA"/>
        </w:rPr>
        <w:t xml:space="preserve"> map </w:t>
      </w:r>
      <w:r w:rsidRPr="00F74120">
        <w:rPr>
          <w:rFonts w:eastAsiaTheme="minorHAnsi"/>
          <w:lang w:val="en-US" w:bidi="ar-SA"/>
        </w:rPr>
        <w:t xml:space="preserve">is consistent with a linked epithermal-porphyry type </w:t>
      </w:r>
      <w:r w:rsidR="00DC7824">
        <w:rPr>
          <w:rFonts w:eastAsiaTheme="minorHAnsi"/>
          <w:lang w:val="en-US" w:bidi="ar-SA"/>
        </w:rPr>
        <w:t>geological model</w:t>
      </w:r>
      <w:r w:rsidR="00EF5149">
        <w:rPr>
          <w:rFonts w:eastAsiaTheme="minorHAnsi"/>
          <w:lang w:val="en-US" w:bidi="ar-SA"/>
        </w:rPr>
        <w:t xml:space="preserve">, and includes </w:t>
      </w:r>
      <w:r w:rsidR="006B72C9">
        <w:rPr>
          <w:rFonts w:eastAsiaTheme="minorHAnsi"/>
          <w:lang w:val="en-US" w:bidi="ar-SA"/>
        </w:rPr>
        <w:t xml:space="preserve">data from </w:t>
      </w:r>
      <w:r w:rsidR="00EF5149">
        <w:rPr>
          <w:rFonts w:eastAsiaTheme="minorHAnsi"/>
          <w:lang w:val="en-US" w:bidi="ar-SA"/>
        </w:rPr>
        <w:t xml:space="preserve">detailed lithological and structural mapping campaigns undertaken </w:t>
      </w:r>
      <w:r w:rsidR="00567A38">
        <w:rPr>
          <w:rFonts w:eastAsiaTheme="minorHAnsi"/>
          <w:lang w:val="en-US" w:bidi="ar-SA"/>
        </w:rPr>
        <w:t>between</w:t>
      </w:r>
      <w:r w:rsidR="00EF5149">
        <w:rPr>
          <w:rFonts w:eastAsiaTheme="minorHAnsi"/>
          <w:lang w:val="en-US" w:bidi="ar-SA"/>
        </w:rPr>
        <w:t xml:space="preserve"> 2012 and 2019</w:t>
      </w:r>
      <w:r w:rsidRPr="00F74120">
        <w:rPr>
          <w:rFonts w:eastAsiaTheme="minorHAnsi"/>
          <w:lang w:val="en-US" w:bidi="ar-SA"/>
        </w:rPr>
        <w:t xml:space="preserve">. While </w:t>
      </w:r>
      <w:r w:rsidR="00EF5149">
        <w:rPr>
          <w:rFonts w:eastAsiaTheme="minorHAnsi"/>
          <w:lang w:val="en-US" w:bidi="ar-SA"/>
        </w:rPr>
        <w:t>Taranis has</w:t>
      </w:r>
      <w:r w:rsidRPr="00F74120">
        <w:rPr>
          <w:rFonts w:eastAsiaTheme="minorHAnsi"/>
          <w:lang w:val="en-US" w:bidi="ar-SA"/>
        </w:rPr>
        <w:t xml:space="preserve"> been </w:t>
      </w:r>
      <w:r w:rsidR="00741528">
        <w:rPr>
          <w:rFonts w:eastAsiaTheme="minorHAnsi"/>
          <w:lang w:val="en-US" w:bidi="ar-SA"/>
        </w:rPr>
        <w:t>systematically</w:t>
      </w:r>
      <w:r w:rsidRPr="00F74120">
        <w:rPr>
          <w:rFonts w:eastAsiaTheme="minorHAnsi"/>
          <w:lang w:val="en-US" w:bidi="ar-SA"/>
        </w:rPr>
        <w:t xml:space="preserve"> drilling</w:t>
      </w:r>
      <w:r w:rsidR="00F51C83">
        <w:rPr>
          <w:rFonts w:eastAsiaTheme="minorHAnsi"/>
          <w:lang w:val="en-US" w:bidi="ar-SA"/>
        </w:rPr>
        <w:t xml:space="preserve"> </w:t>
      </w:r>
      <w:r w:rsidRPr="00F74120">
        <w:rPr>
          <w:rFonts w:eastAsiaTheme="minorHAnsi"/>
          <w:lang w:val="en-US" w:bidi="ar-SA"/>
        </w:rPr>
        <w:t>out the near</w:t>
      </w:r>
      <w:r w:rsidR="00BC2C35">
        <w:rPr>
          <w:rFonts w:eastAsiaTheme="minorHAnsi"/>
          <w:lang w:val="en-US" w:bidi="ar-SA"/>
        </w:rPr>
        <w:t>-</w:t>
      </w:r>
      <w:r w:rsidRPr="00F74120">
        <w:rPr>
          <w:rFonts w:eastAsiaTheme="minorHAnsi"/>
          <w:lang w:val="en-US" w:bidi="ar-SA"/>
        </w:rPr>
        <w:t xml:space="preserve">surface </w:t>
      </w:r>
      <w:r w:rsidR="00BC2C35">
        <w:rPr>
          <w:rFonts w:eastAsiaTheme="minorHAnsi"/>
          <w:lang w:val="en-US" w:bidi="ar-SA"/>
        </w:rPr>
        <w:t xml:space="preserve">epithermal </w:t>
      </w:r>
      <w:r w:rsidRPr="00F74120">
        <w:rPr>
          <w:rFonts w:eastAsiaTheme="minorHAnsi"/>
          <w:lang w:val="en-US" w:bidi="ar-SA"/>
        </w:rPr>
        <w:t xml:space="preserve">deposit at Thor, </w:t>
      </w:r>
      <w:r w:rsidR="00741528">
        <w:rPr>
          <w:rFonts w:eastAsiaTheme="minorHAnsi"/>
          <w:lang w:val="en-US" w:bidi="ar-SA"/>
        </w:rPr>
        <w:t>it</w:t>
      </w:r>
      <w:r w:rsidR="00A85417">
        <w:rPr>
          <w:rFonts w:eastAsiaTheme="minorHAnsi"/>
          <w:lang w:val="en-US" w:bidi="ar-SA"/>
        </w:rPr>
        <w:t xml:space="preserve"> has</w:t>
      </w:r>
      <w:r w:rsidRPr="00F74120">
        <w:rPr>
          <w:rFonts w:eastAsiaTheme="minorHAnsi"/>
          <w:lang w:val="en-US" w:bidi="ar-SA"/>
        </w:rPr>
        <w:t xml:space="preserve"> never lost sight of </w:t>
      </w:r>
      <w:r w:rsidR="00EF5149">
        <w:rPr>
          <w:rFonts w:eastAsiaTheme="minorHAnsi"/>
          <w:lang w:val="en-US" w:bidi="ar-SA"/>
        </w:rPr>
        <w:t>a</w:t>
      </w:r>
      <w:r w:rsidRPr="00F74120">
        <w:rPr>
          <w:rFonts w:eastAsiaTheme="minorHAnsi"/>
          <w:lang w:val="en-US" w:bidi="ar-SA"/>
        </w:rPr>
        <w:t xml:space="preserve"> much larger </w:t>
      </w:r>
      <w:r w:rsidR="00757C3C">
        <w:rPr>
          <w:rFonts w:eastAsiaTheme="minorHAnsi"/>
          <w:lang w:val="en-US" w:bidi="ar-SA"/>
        </w:rPr>
        <w:t>Intrusive</w:t>
      </w:r>
      <w:r w:rsidR="00CA50C1">
        <w:rPr>
          <w:rFonts w:eastAsiaTheme="minorHAnsi"/>
          <w:lang w:val="en-US" w:bidi="ar-SA"/>
        </w:rPr>
        <w:t xml:space="preserve"> </w:t>
      </w:r>
      <w:r w:rsidR="00DC7824">
        <w:rPr>
          <w:rFonts w:eastAsiaTheme="minorHAnsi"/>
          <w:lang w:val="en-US" w:bidi="ar-SA"/>
        </w:rPr>
        <w:t>T</w:t>
      </w:r>
      <w:r w:rsidRPr="00F74120">
        <w:rPr>
          <w:rFonts w:eastAsiaTheme="minorHAnsi"/>
          <w:lang w:val="en-US" w:bidi="ar-SA"/>
        </w:rPr>
        <w:t>arget</w:t>
      </w:r>
      <w:r w:rsidR="00EF5149">
        <w:rPr>
          <w:rFonts w:eastAsiaTheme="minorHAnsi"/>
          <w:lang w:val="en-US" w:bidi="ar-SA"/>
        </w:rPr>
        <w:t xml:space="preserve"> at Thor.</w:t>
      </w:r>
      <w:r w:rsidR="00617D31">
        <w:rPr>
          <w:rFonts w:eastAsiaTheme="minorHAnsi"/>
          <w:lang w:val="en-US" w:bidi="ar-SA"/>
        </w:rPr>
        <w:t xml:space="preserve"> </w:t>
      </w:r>
      <w:r w:rsidR="00FE7A74">
        <w:rPr>
          <w:rFonts w:eastAsiaTheme="minorHAnsi"/>
          <w:lang w:val="en-US" w:bidi="ar-SA"/>
        </w:rPr>
        <w:t>Some of the key aspects are highlighted below</w:t>
      </w:r>
      <w:r w:rsidR="00741528">
        <w:rPr>
          <w:rFonts w:eastAsiaTheme="minorHAnsi"/>
          <w:lang w:val="en-US" w:bidi="ar-SA"/>
        </w:rPr>
        <w:t>.</w:t>
      </w:r>
    </w:p>
    <w:p w14:paraId="0DBD4BF5" w14:textId="171A930D" w:rsidR="00F74120" w:rsidRPr="00F74120" w:rsidRDefault="00030F09" w:rsidP="00741528">
      <w:pPr>
        <w:spacing w:after="160" w:line="259" w:lineRule="auto"/>
        <w:jc w:val="both"/>
        <w:rPr>
          <w:rFonts w:eastAsiaTheme="minorHAnsi"/>
          <w:b/>
          <w:bCs/>
          <w:lang w:val="en-US" w:bidi="ar-SA"/>
        </w:rPr>
      </w:pPr>
      <w:r>
        <w:rPr>
          <w:rFonts w:eastAsiaTheme="minorHAnsi"/>
          <w:b/>
          <w:bCs/>
          <w:lang w:val="en-US" w:bidi="ar-SA"/>
        </w:rPr>
        <w:t>Regional Geology</w:t>
      </w:r>
    </w:p>
    <w:p w14:paraId="00C4BC7B" w14:textId="73EF8C11" w:rsidR="00030F09" w:rsidRPr="00F74120" w:rsidRDefault="00F74120" w:rsidP="00741528">
      <w:pPr>
        <w:spacing w:after="160" w:line="259" w:lineRule="auto"/>
        <w:jc w:val="both"/>
        <w:rPr>
          <w:rFonts w:eastAsiaTheme="minorHAnsi"/>
          <w:lang w:val="en-US" w:bidi="ar-SA"/>
        </w:rPr>
      </w:pPr>
      <w:r w:rsidRPr="00F74120">
        <w:rPr>
          <w:rFonts w:eastAsiaTheme="minorHAnsi"/>
          <w:lang w:val="en-US" w:bidi="ar-SA"/>
        </w:rPr>
        <w:t xml:space="preserve">The </w:t>
      </w:r>
      <w:r w:rsidR="00B86D63">
        <w:rPr>
          <w:rFonts w:eastAsiaTheme="minorHAnsi"/>
          <w:lang w:val="en-US" w:bidi="ar-SA"/>
        </w:rPr>
        <w:t xml:space="preserve">dominant and </w:t>
      </w:r>
      <w:r w:rsidRPr="00F74120">
        <w:rPr>
          <w:rFonts w:eastAsiaTheme="minorHAnsi"/>
          <w:lang w:val="en-US" w:bidi="ar-SA"/>
        </w:rPr>
        <w:t xml:space="preserve">regional folding event trends northwest–southeast </w:t>
      </w:r>
      <w:r w:rsidR="00030F09">
        <w:rPr>
          <w:rFonts w:eastAsiaTheme="minorHAnsi"/>
          <w:lang w:val="en-US" w:bidi="ar-SA"/>
        </w:rPr>
        <w:t xml:space="preserve">and </w:t>
      </w:r>
      <w:r w:rsidRPr="00F74120">
        <w:rPr>
          <w:rFonts w:eastAsiaTheme="minorHAnsi"/>
          <w:lang w:val="en-US" w:bidi="ar-SA"/>
        </w:rPr>
        <w:t>has folded the Sharon Creek, Jowett and Broadview Formation</w:t>
      </w:r>
      <w:r w:rsidR="00DC7824">
        <w:rPr>
          <w:rFonts w:eastAsiaTheme="minorHAnsi"/>
          <w:lang w:val="en-US" w:bidi="ar-SA"/>
        </w:rPr>
        <w:t>s</w:t>
      </w:r>
      <w:r w:rsidRPr="00F74120">
        <w:rPr>
          <w:rFonts w:eastAsiaTheme="minorHAnsi"/>
          <w:lang w:val="en-US" w:bidi="ar-SA"/>
        </w:rPr>
        <w:t xml:space="preserve"> into series of tight folds that plunge moderately to the </w:t>
      </w:r>
      <w:r w:rsidR="00741528">
        <w:rPr>
          <w:rFonts w:eastAsiaTheme="minorHAnsi"/>
          <w:lang w:val="en-US" w:bidi="ar-SA"/>
        </w:rPr>
        <w:t>n</w:t>
      </w:r>
      <w:r w:rsidRPr="00F74120">
        <w:rPr>
          <w:rFonts w:eastAsiaTheme="minorHAnsi"/>
          <w:lang w:val="en-US" w:bidi="ar-SA"/>
        </w:rPr>
        <w:t>orthwest.</w:t>
      </w:r>
      <w:r w:rsidR="00030F09">
        <w:rPr>
          <w:rFonts w:eastAsiaTheme="minorHAnsi"/>
          <w:lang w:val="en-US" w:bidi="ar-SA"/>
        </w:rPr>
        <w:t xml:space="preserve"> The </w:t>
      </w:r>
      <w:r w:rsidR="00B0635F">
        <w:rPr>
          <w:rFonts w:eastAsiaTheme="minorHAnsi"/>
          <w:lang w:val="en-US" w:bidi="ar-SA"/>
        </w:rPr>
        <w:t xml:space="preserve">main structure formed during this event was the </w:t>
      </w:r>
      <w:r w:rsidR="00030F09">
        <w:rPr>
          <w:rFonts w:eastAsiaTheme="minorHAnsi"/>
          <w:lang w:val="en-US" w:bidi="ar-SA"/>
        </w:rPr>
        <w:t xml:space="preserve">Silver Cup Anticline – but this </w:t>
      </w:r>
      <w:r w:rsidR="00CA50C1">
        <w:rPr>
          <w:rFonts w:eastAsiaTheme="minorHAnsi"/>
          <w:lang w:val="en-US" w:bidi="ar-SA"/>
        </w:rPr>
        <w:lastRenderedPageBreak/>
        <w:t xml:space="preserve">tectonic feature </w:t>
      </w:r>
      <w:r w:rsidR="004B7ECC">
        <w:rPr>
          <w:rFonts w:eastAsiaTheme="minorHAnsi"/>
          <w:lang w:val="en-US" w:bidi="ar-SA"/>
        </w:rPr>
        <w:t>associated with many of the historic mines in the Silver C</w:t>
      </w:r>
      <w:r w:rsidR="00055046">
        <w:rPr>
          <w:rFonts w:eastAsiaTheme="minorHAnsi"/>
          <w:lang w:val="en-US" w:bidi="ar-SA"/>
        </w:rPr>
        <w:t>u</w:t>
      </w:r>
      <w:r w:rsidR="004B7ECC">
        <w:rPr>
          <w:rFonts w:eastAsiaTheme="minorHAnsi"/>
          <w:lang w:val="en-US" w:bidi="ar-SA"/>
        </w:rPr>
        <w:t xml:space="preserve">p district </w:t>
      </w:r>
      <w:r w:rsidR="00030F09">
        <w:rPr>
          <w:rFonts w:eastAsiaTheme="minorHAnsi"/>
          <w:lang w:val="en-US" w:bidi="ar-SA"/>
        </w:rPr>
        <w:t xml:space="preserve">is </w:t>
      </w:r>
      <w:r w:rsidR="00030F09" w:rsidRPr="00CA50C1">
        <w:rPr>
          <w:rFonts w:eastAsiaTheme="minorHAnsi"/>
          <w:u w:val="single"/>
          <w:lang w:val="en-US" w:bidi="ar-SA"/>
        </w:rPr>
        <w:t>not</w:t>
      </w:r>
      <w:r w:rsidR="00030F09">
        <w:rPr>
          <w:rFonts w:eastAsiaTheme="minorHAnsi"/>
          <w:lang w:val="en-US" w:bidi="ar-SA"/>
        </w:rPr>
        <w:t xml:space="preserve"> </w:t>
      </w:r>
      <w:r w:rsidR="00B0635F">
        <w:rPr>
          <w:rFonts w:eastAsiaTheme="minorHAnsi"/>
          <w:lang w:val="en-US" w:bidi="ar-SA"/>
        </w:rPr>
        <w:t xml:space="preserve">the primary control of </w:t>
      </w:r>
      <w:r w:rsidR="00030F09">
        <w:rPr>
          <w:rFonts w:eastAsiaTheme="minorHAnsi"/>
          <w:lang w:val="en-US" w:bidi="ar-SA"/>
        </w:rPr>
        <w:t>mineralization at Thor.</w:t>
      </w:r>
      <w:r w:rsidR="007C673F">
        <w:rPr>
          <w:rFonts w:eastAsiaTheme="minorHAnsi"/>
          <w:lang w:val="en-US" w:bidi="ar-SA"/>
        </w:rPr>
        <w:t xml:space="preserve"> </w:t>
      </w:r>
      <w:r w:rsidR="00B0635F">
        <w:rPr>
          <w:rFonts w:eastAsiaTheme="minorHAnsi"/>
          <w:lang w:val="en-US" w:bidi="ar-SA"/>
        </w:rPr>
        <w:t xml:space="preserve">As with </w:t>
      </w:r>
      <w:r w:rsidR="00E74C71">
        <w:rPr>
          <w:rFonts w:eastAsiaTheme="minorHAnsi"/>
          <w:lang w:val="en-US" w:bidi="ar-SA"/>
        </w:rPr>
        <w:t>most</w:t>
      </w:r>
      <w:r w:rsidR="00B0635F">
        <w:rPr>
          <w:rFonts w:eastAsiaTheme="minorHAnsi"/>
          <w:lang w:val="en-US" w:bidi="ar-SA"/>
        </w:rPr>
        <w:t xml:space="preserve"> epithermal deposits</w:t>
      </w:r>
      <w:r w:rsidR="007D7AF5">
        <w:rPr>
          <w:rFonts w:eastAsiaTheme="minorHAnsi"/>
          <w:lang w:val="en-US" w:bidi="ar-SA"/>
        </w:rPr>
        <w:t>,</w:t>
      </w:r>
      <w:r w:rsidR="00B0635F">
        <w:rPr>
          <w:rFonts w:eastAsiaTheme="minorHAnsi"/>
          <w:lang w:val="en-US" w:bidi="ar-SA"/>
        </w:rPr>
        <w:t xml:space="preserve"> </w:t>
      </w:r>
      <w:r w:rsidR="00030F09" w:rsidRPr="00030F09">
        <w:rPr>
          <w:rFonts w:eastAsiaTheme="minorHAnsi"/>
          <w:lang w:val="en-US" w:bidi="ar-SA"/>
        </w:rPr>
        <w:t xml:space="preserve">an impermeable cap rock </w:t>
      </w:r>
      <w:r w:rsidR="00F56F29">
        <w:rPr>
          <w:rFonts w:eastAsiaTheme="minorHAnsi"/>
          <w:lang w:val="en-US" w:bidi="ar-SA"/>
        </w:rPr>
        <w:t xml:space="preserve">(lithocap) </w:t>
      </w:r>
      <w:r w:rsidR="00F51C83">
        <w:rPr>
          <w:rFonts w:eastAsiaTheme="minorHAnsi"/>
          <w:lang w:val="en-US" w:bidi="ar-SA"/>
        </w:rPr>
        <w:t>has</w:t>
      </w:r>
      <w:r w:rsidR="00B0635F">
        <w:rPr>
          <w:rFonts w:eastAsiaTheme="minorHAnsi"/>
          <w:lang w:val="en-US" w:bidi="ar-SA"/>
        </w:rPr>
        <w:t xml:space="preserve"> trap</w:t>
      </w:r>
      <w:r w:rsidR="00F51C83">
        <w:rPr>
          <w:rFonts w:eastAsiaTheme="minorHAnsi"/>
          <w:lang w:val="en-US" w:bidi="ar-SA"/>
        </w:rPr>
        <w:t>ped</w:t>
      </w:r>
      <w:r w:rsidR="00B0635F">
        <w:rPr>
          <w:rFonts w:eastAsiaTheme="minorHAnsi"/>
          <w:lang w:val="en-US" w:bidi="ar-SA"/>
        </w:rPr>
        <w:t xml:space="preserve"> the mineralization</w:t>
      </w:r>
      <w:r w:rsidR="0062591B">
        <w:rPr>
          <w:rFonts w:eastAsiaTheme="minorHAnsi"/>
          <w:lang w:val="en-US" w:bidi="ar-SA"/>
        </w:rPr>
        <w:t>, and a</w:t>
      </w:r>
      <w:r w:rsidR="00B0635F">
        <w:rPr>
          <w:rFonts w:eastAsiaTheme="minorHAnsi"/>
          <w:lang w:val="en-US" w:bidi="ar-SA"/>
        </w:rPr>
        <w:t>t Thor, this is the Broadview Formation</w:t>
      </w:r>
      <w:r w:rsidR="00FE7A74">
        <w:rPr>
          <w:rFonts w:eastAsiaTheme="minorHAnsi"/>
          <w:lang w:val="en-US" w:bidi="ar-SA"/>
        </w:rPr>
        <w:t xml:space="preserve"> (</w:t>
      </w:r>
      <w:r w:rsidR="0062591B">
        <w:rPr>
          <w:rFonts w:eastAsiaTheme="minorHAnsi"/>
          <w:lang w:val="en-US" w:bidi="ar-SA"/>
        </w:rPr>
        <w:t>siliclastic sedimentary rocks</w:t>
      </w:r>
      <w:r w:rsidR="00FE7A74">
        <w:rPr>
          <w:rFonts w:eastAsiaTheme="minorHAnsi"/>
          <w:lang w:val="en-US" w:bidi="ar-SA"/>
        </w:rPr>
        <w:t>)</w:t>
      </w:r>
      <w:r w:rsidR="0062591B">
        <w:rPr>
          <w:rFonts w:eastAsiaTheme="minorHAnsi"/>
          <w:lang w:val="en-US" w:bidi="ar-SA"/>
        </w:rPr>
        <w:t>.</w:t>
      </w:r>
    </w:p>
    <w:p w14:paraId="5AEF1623" w14:textId="27F5FE9B" w:rsidR="00030F09" w:rsidRPr="00030F09" w:rsidRDefault="00030F09" w:rsidP="00741528">
      <w:pPr>
        <w:spacing w:after="160" w:line="259" w:lineRule="auto"/>
        <w:jc w:val="both"/>
        <w:rPr>
          <w:rFonts w:eastAsiaTheme="minorHAnsi"/>
          <w:b/>
          <w:bCs/>
          <w:lang w:val="en-US" w:bidi="ar-SA"/>
        </w:rPr>
      </w:pPr>
      <w:r w:rsidRPr="00030F09">
        <w:rPr>
          <w:rFonts w:eastAsiaTheme="minorHAnsi"/>
          <w:b/>
          <w:bCs/>
          <w:lang w:val="en-US" w:bidi="ar-SA"/>
        </w:rPr>
        <w:t>Thor Fault Zone</w:t>
      </w:r>
      <w:r w:rsidR="00055046">
        <w:rPr>
          <w:rFonts w:eastAsiaTheme="minorHAnsi"/>
          <w:b/>
          <w:bCs/>
          <w:lang w:val="en-US" w:bidi="ar-SA"/>
        </w:rPr>
        <w:t xml:space="preserve"> and its </w:t>
      </w:r>
      <w:r w:rsidR="00B0635F">
        <w:rPr>
          <w:rFonts w:eastAsiaTheme="minorHAnsi"/>
          <w:b/>
          <w:bCs/>
          <w:lang w:val="en-US" w:bidi="ar-SA"/>
        </w:rPr>
        <w:t>R</w:t>
      </w:r>
      <w:r w:rsidR="00055046">
        <w:rPr>
          <w:rFonts w:eastAsiaTheme="minorHAnsi"/>
          <w:b/>
          <w:bCs/>
          <w:lang w:val="en-US" w:bidi="ar-SA"/>
        </w:rPr>
        <w:t xml:space="preserve">elationship to Epithermal </w:t>
      </w:r>
      <w:r w:rsidR="00CF6299">
        <w:rPr>
          <w:rFonts w:eastAsiaTheme="minorHAnsi"/>
          <w:b/>
          <w:bCs/>
          <w:lang w:val="en-US" w:bidi="ar-SA"/>
        </w:rPr>
        <w:t xml:space="preserve">Deposits </w:t>
      </w:r>
      <w:r w:rsidR="00055046">
        <w:rPr>
          <w:rFonts w:eastAsiaTheme="minorHAnsi"/>
          <w:b/>
          <w:bCs/>
          <w:lang w:val="en-US" w:bidi="ar-SA"/>
        </w:rPr>
        <w:t xml:space="preserve">and </w:t>
      </w:r>
      <w:r w:rsidR="00535C80">
        <w:rPr>
          <w:rFonts w:eastAsiaTheme="minorHAnsi"/>
          <w:b/>
          <w:bCs/>
          <w:lang w:val="en-US" w:bidi="ar-SA"/>
        </w:rPr>
        <w:t>Intrusive Target</w:t>
      </w:r>
    </w:p>
    <w:p w14:paraId="1C75AD79" w14:textId="4E9FD2F4" w:rsidR="00F51C83" w:rsidRDefault="00F74120" w:rsidP="00741528">
      <w:pPr>
        <w:spacing w:after="160" w:line="259" w:lineRule="auto"/>
        <w:jc w:val="both"/>
        <w:rPr>
          <w:rFonts w:eastAsiaTheme="minorHAnsi"/>
          <w:lang w:val="en-US" w:bidi="ar-SA"/>
        </w:rPr>
      </w:pPr>
      <w:r w:rsidRPr="00F74120">
        <w:rPr>
          <w:rFonts w:eastAsiaTheme="minorHAnsi"/>
          <w:lang w:val="en-US" w:bidi="ar-SA"/>
        </w:rPr>
        <w:t xml:space="preserve">The regional folding event is </w:t>
      </w:r>
      <w:r w:rsidR="004B7ECC">
        <w:rPr>
          <w:rFonts w:eastAsiaTheme="minorHAnsi"/>
          <w:lang w:val="en-US" w:bidi="ar-SA"/>
        </w:rPr>
        <w:t>cro</w:t>
      </w:r>
      <w:r w:rsidR="00B0635F">
        <w:rPr>
          <w:rFonts w:eastAsiaTheme="minorHAnsi"/>
          <w:lang w:val="en-US" w:bidi="ar-SA"/>
        </w:rPr>
        <w:t>ss</w:t>
      </w:r>
      <w:r w:rsidR="004B7ECC">
        <w:rPr>
          <w:rFonts w:eastAsiaTheme="minorHAnsi"/>
          <w:lang w:val="en-US" w:bidi="ar-SA"/>
        </w:rPr>
        <w:t>-cut</w:t>
      </w:r>
      <w:r w:rsidRPr="00F74120">
        <w:rPr>
          <w:rFonts w:eastAsiaTheme="minorHAnsi"/>
          <w:lang w:val="en-US" w:bidi="ar-SA"/>
        </w:rPr>
        <w:t xml:space="preserve"> by the younger Thor Fault Zone </w:t>
      </w:r>
      <w:r w:rsidR="004B7ECC">
        <w:rPr>
          <w:rFonts w:eastAsiaTheme="minorHAnsi"/>
          <w:lang w:val="en-US" w:bidi="ar-SA"/>
        </w:rPr>
        <w:t>(</w:t>
      </w:r>
      <w:r w:rsidR="007D7AF5">
        <w:rPr>
          <w:rFonts w:eastAsiaTheme="minorHAnsi"/>
          <w:lang w:val="en-US" w:bidi="ar-SA"/>
        </w:rPr>
        <w:t>“</w:t>
      </w:r>
      <w:r w:rsidR="004B7ECC">
        <w:rPr>
          <w:rFonts w:eastAsiaTheme="minorHAnsi"/>
          <w:lang w:val="en-US" w:bidi="ar-SA"/>
        </w:rPr>
        <w:t>TFZ</w:t>
      </w:r>
      <w:r w:rsidR="007D7AF5">
        <w:rPr>
          <w:rFonts w:eastAsiaTheme="minorHAnsi"/>
          <w:lang w:val="en-US" w:bidi="ar-SA"/>
        </w:rPr>
        <w:t>”</w:t>
      </w:r>
      <w:r w:rsidR="004B7ECC">
        <w:rPr>
          <w:rFonts w:eastAsiaTheme="minorHAnsi"/>
          <w:lang w:val="en-US" w:bidi="ar-SA"/>
        </w:rPr>
        <w:t xml:space="preserve">) </w:t>
      </w:r>
      <w:r w:rsidRPr="00F74120">
        <w:rPr>
          <w:rFonts w:eastAsiaTheme="minorHAnsi"/>
          <w:lang w:val="en-US" w:bidi="ar-SA"/>
        </w:rPr>
        <w:t xml:space="preserve">that trends </w:t>
      </w:r>
      <w:r w:rsidR="00741528">
        <w:rPr>
          <w:rFonts w:eastAsiaTheme="minorHAnsi"/>
          <w:lang w:val="en-US" w:bidi="ar-SA"/>
        </w:rPr>
        <w:t>n</w:t>
      </w:r>
      <w:r w:rsidRPr="00F74120">
        <w:rPr>
          <w:rFonts w:eastAsiaTheme="minorHAnsi"/>
          <w:lang w:val="en-US" w:bidi="ar-SA"/>
        </w:rPr>
        <w:t>orthwest</w:t>
      </w:r>
      <w:r w:rsidR="00044EA8">
        <w:rPr>
          <w:rFonts w:eastAsiaTheme="minorHAnsi"/>
          <w:lang w:val="en-US" w:bidi="ar-SA"/>
        </w:rPr>
        <w:t>, and is approximately 500</w:t>
      </w:r>
      <w:r w:rsidR="00FE7A74">
        <w:rPr>
          <w:rFonts w:eastAsiaTheme="minorHAnsi"/>
          <w:lang w:val="en-US" w:bidi="ar-SA"/>
        </w:rPr>
        <w:t xml:space="preserve"> </w:t>
      </w:r>
      <w:r w:rsidR="00044EA8">
        <w:rPr>
          <w:rFonts w:eastAsiaTheme="minorHAnsi"/>
          <w:lang w:val="en-US" w:bidi="ar-SA"/>
        </w:rPr>
        <w:t>m in width</w:t>
      </w:r>
      <w:r w:rsidRPr="00F74120">
        <w:rPr>
          <w:rFonts w:eastAsiaTheme="minorHAnsi"/>
          <w:lang w:val="en-US" w:bidi="ar-SA"/>
        </w:rPr>
        <w:t xml:space="preserve">. </w:t>
      </w:r>
      <w:r w:rsidR="00475594">
        <w:rPr>
          <w:rFonts w:eastAsiaTheme="minorHAnsi"/>
          <w:lang w:val="en-US" w:bidi="ar-SA"/>
        </w:rPr>
        <w:t xml:space="preserve">The TFZ is the </w:t>
      </w:r>
      <w:r w:rsidR="001A2406">
        <w:rPr>
          <w:rFonts w:eastAsiaTheme="minorHAnsi"/>
          <w:lang w:val="en-US" w:bidi="ar-SA"/>
        </w:rPr>
        <w:t xml:space="preserve">hydrothermal </w:t>
      </w:r>
      <w:r w:rsidR="00CA50C1">
        <w:rPr>
          <w:rFonts w:eastAsiaTheme="minorHAnsi"/>
          <w:lang w:val="en-US" w:bidi="ar-SA"/>
        </w:rPr>
        <w:t>‘pipeline’</w:t>
      </w:r>
      <w:r w:rsidR="00475594">
        <w:rPr>
          <w:rFonts w:eastAsiaTheme="minorHAnsi"/>
          <w:lang w:val="en-US" w:bidi="ar-SA"/>
        </w:rPr>
        <w:t xml:space="preserve"> through which </w:t>
      </w:r>
      <w:r w:rsidR="001A2406">
        <w:rPr>
          <w:rFonts w:eastAsiaTheme="minorHAnsi"/>
          <w:lang w:val="en-US" w:bidi="ar-SA"/>
        </w:rPr>
        <w:t>mineralized</w:t>
      </w:r>
      <w:r w:rsidR="00475594">
        <w:rPr>
          <w:rFonts w:eastAsiaTheme="minorHAnsi"/>
          <w:lang w:val="en-US" w:bidi="ar-SA"/>
        </w:rPr>
        <w:t xml:space="preserve"> fluids were released from the </w:t>
      </w:r>
      <w:r w:rsidR="006D16A8">
        <w:rPr>
          <w:rFonts w:eastAsiaTheme="minorHAnsi"/>
          <w:lang w:val="en-US" w:bidi="ar-SA"/>
        </w:rPr>
        <w:t xml:space="preserve">prospective </w:t>
      </w:r>
      <w:r w:rsidR="00475594">
        <w:rPr>
          <w:rFonts w:eastAsiaTheme="minorHAnsi"/>
          <w:lang w:val="en-US" w:bidi="ar-SA"/>
        </w:rPr>
        <w:t xml:space="preserve">underlying </w:t>
      </w:r>
      <w:r w:rsidR="00E74C71">
        <w:rPr>
          <w:rFonts w:eastAsiaTheme="minorHAnsi"/>
          <w:lang w:val="en-US" w:bidi="ar-SA"/>
        </w:rPr>
        <w:t>porphyry system</w:t>
      </w:r>
      <w:r w:rsidR="009C5ED8">
        <w:rPr>
          <w:rFonts w:eastAsiaTheme="minorHAnsi"/>
          <w:lang w:val="en-US" w:bidi="ar-SA"/>
        </w:rPr>
        <w:t>.</w:t>
      </w:r>
      <w:r w:rsidR="001A2406">
        <w:rPr>
          <w:rFonts w:eastAsiaTheme="minorHAnsi"/>
          <w:lang w:val="en-US" w:bidi="ar-SA"/>
        </w:rPr>
        <w:t xml:space="preserve"> </w:t>
      </w:r>
      <w:r w:rsidR="00F51C83">
        <w:rPr>
          <w:rFonts w:eastAsiaTheme="minorHAnsi"/>
          <w:lang w:val="en-US" w:bidi="ar-SA"/>
        </w:rPr>
        <w:t xml:space="preserve">Thor’s past-producing and locally famous mines including Broadview, </w:t>
      </w:r>
      <w:r w:rsidR="003432F5">
        <w:rPr>
          <w:rFonts w:eastAsiaTheme="minorHAnsi"/>
          <w:lang w:val="en-US" w:bidi="ar-SA"/>
        </w:rPr>
        <w:t xml:space="preserve">Great Northern, </w:t>
      </w:r>
      <w:r w:rsidR="00F51C83">
        <w:rPr>
          <w:rFonts w:eastAsiaTheme="minorHAnsi"/>
          <w:lang w:val="en-US" w:bidi="ar-SA"/>
        </w:rPr>
        <w:t>True Fissure</w:t>
      </w:r>
      <w:r w:rsidR="00741528">
        <w:rPr>
          <w:rFonts w:eastAsiaTheme="minorHAnsi"/>
          <w:lang w:val="en-US" w:bidi="ar-SA"/>
        </w:rPr>
        <w:t xml:space="preserve"> </w:t>
      </w:r>
      <w:r w:rsidR="00F51C83">
        <w:rPr>
          <w:rFonts w:eastAsiaTheme="minorHAnsi"/>
          <w:lang w:val="en-US" w:bidi="ar-SA"/>
        </w:rPr>
        <w:t>and Blue Bell</w:t>
      </w:r>
      <w:r w:rsidR="00741528">
        <w:rPr>
          <w:rFonts w:eastAsiaTheme="minorHAnsi"/>
          <w:lang w:val="en-US" w:bidi="ar-SA"/>
        </w:rPr>
        <w:t>,</w:t>
      </w:r>
      <w:r w:rsidR="00F51C83">
        <w:rPr>
          <w:rFonts w:eastAsiaTheme="minorHAnsi"/>
          <w:lang w:val="en-US" w:bidi="ar-SA"/>
        </w:rPr>
        <w:t xml:space="preserve"> all</w:t>
      </w:r>
      <w:r w:rsidR="00741528">
        <w:rPr>
          <w:rFonts w:eastAsiaTheme="minorHAnsi"/>
          <w:lang w:val="en-US" w:bidi="ar-SA"/>
        </w:rPr>
        <w:t xml:space="preserve"> of which are</w:t>
      </w:r>
      <w:r w:rsidR="00F51C83">
        <w:rPr>
          <w:rFonts w:eastAsiaTheme="minorHAnsi"/>
          <w:lang w:val="en-US" w:bidi="ar-SA"/>
        </w:rPr>
        <w:t xml:space="preserve"> hydrothermal vein systems confined within the Thor Fault Zone.</w:t>
      </w:r>
      <w:r w:rsidR="0012547B">
        <w:rPr>
          <w:rFonts w:eastAsiaTheme="minorHAnsi"/>
          <w:lang w:val="en-US" w:bidi="ar-SA"/>
        </w:rPr>
        <w:t xml:space="preserve"> Taranis’ exploration work to date suggests that each of these veins, including the Thunder Zone, are genetically related. </w:t>
      </w:r>
    </w:p>
    <w:p w14:paraId="5BCA30C3" w14:textId="3BF8AD1C" w:rsidR="00B0635F" w:rsidRDefault="00BF79A7" w:rsidP="00741528">
      <w:pPr>
        <w:spacing w:after="160" w:line="259" w:lineRule="auto"/>
        <w:jc w:val="both"/>
        <w:rPr>
          <w:rFonts w:eastAsiaTheme="minorHAnsi"/>
          <w:lang w:val="en-US" w:bidi="ar-SA"/>
        </w:rPr>
      </w:pPr>
      <w:r w:rsidRPr="00BF79A7">
        <w:rPr>
          <w:rFonts w:eastAsiaTheme="minorHAnsi"/>
          <w:lang w:val="en-US" w:bidi="ar-SA"/>
        </w:rPr>
        <w:t xml:space="preserve">The TFZ occurs along the west </w:t>
      </w:r>
      <w:r w:rsidR="009C5ED8">
        <w:rPr>
          <w:rFonts w:eastAsiaTheme="minorHAnsi"/>
          <w:lang w:val="en-US" w:bidi="ar-SA"/>
        </w:rPr>
        <w:t>flank</w:t>
      </w:r>
      <w:r w:rsidRPr="00BF79A7">
        <w:rPr>
          <w:rFonts w:eastAsiaTheme="minorHAnsi"/>
          <w:lang w:val="en-US" w:bidi="ar-SA"/>
        </w:rPr>
        <w:t xml:space="preserve"> of the </w:t>
      </w:r>
      <w:r w:rsidR="0012547B">
        <w:rPr>
          <w:rFonts w:eastAsiaTheme="minorHAnsi"/>
          <w:lang w:val="en-US" w:bidi="ar-SA"/>
        </w:rPr>
        <w:t>Intrusive</w:t>
      </w:r>
      <w:r w:rsidR="0012547B" w:rsidRPr="00BF79A7">
        <w:rPr>
          <w:rFonts w:eastAsiaTheme="minorHAnsi"/>
          <w:lang w:val="en-US" w:bidi="ar-SA"/>
        </w:rPr>
        <w:t xml:space="preserve"> </w:t>
      </w:r>
      <w:r w:rsidR="0012547B">
        <w:rPr>
          <w:rFonts w:eastAsiaTheme="minorHAnsi"/>
          <w:lang w:val="en-US" w:bidi="ar-SA"/>
        </w:rPr>
        <w:t xml:space="preserve">Target </w:t>
      </w:r>
      <w:r w:rsidR="0012547B" w:rsidRPr="00BF79A7">
        <w:rPr>
          <w:rFonts w:eastAsiaTheme="minorHAnsi"/>
          <w:lang w:val="en-US" w:bidi="ar-SA"/>
        </w:rPr>
        <w:t>and</w:t>
      </w:r>
      <w:r w:rsidRPr="00BF79A7">
        <w:rPr>
          <w:rFonts w:eastAsiaTheme="minorHAnsi"/>
          <w:lang w:val="en-US" w:bidi="ar-SA"/>
        </w:rPr>
        <w:t xml:space="preserve"> was active during</w:t>
      </w:r>
      <w:r w:rsidR="0012547B">
        <w:rPr>
          <w:rFonts w:eastAsiaTheme="minorHAnsi"/>
          <w:lang w:val="en-US" w:bidi="ar-SA"/>
        </w:rPr>
        <w:t xml:space="preserve"> and after</w:t>
      </w:r>
      <w:r w:rsidRPr="00BF79A7">
        <w:rPr>
          <w:rFonts w:eastAsiaTheme="minorHAnsi"/>
          <w:lang w:val="en-US" w:bidi="ar-SA"/>
        </w:rPr>
        <w:t xml:space="preserve"> the emplacement of the </w:t>
      </w:r>
      <w:r w:rsidR="00552B07">
        <w:rPr>
          <w:rFonts w:eastAsiaTheme="minorHAnsi"/>
          <w:lang w:val="en-US" w:bidi="ar-SA"/>
        </w:rPr>
        <w:t xml:space="preserve">postulated </w:t>
      </w:r>
      <w:r w:rsidRPr="00BF79A7">
        <w:rPr>
          <w:rFonts w:eastAsiaTheme="minorHAnsi"/>
          <w:lang w:val="en-US" w:bidi="ar-SA"/>
        </w:rPr>
        <w:t>intrusive</w:t>
      </w:r>
      <w:r w:rsidR="0012547B">
        <w:rPr>
          <w:rFonts w:eastAsiaTheme="minorHAnsi"/>
          <w:lang w:val="en-US" w:bidi="ar-SA"/>
        </w:rPr>
        <w:t xml:space="preserve"> and known epithermal veins. </w:t>
      </w:r>
      <w:r w:rsidR="00044EA8">
        <w:rPr>
          <w:rFonts w:eastAsiaTheme="minorHAnsi"/>
          <w:lang w:val="en-US" w:bidi="ar-SA"/>
        </w:rPr>
        <w:t xml:space="preserve">While </w:t>
      </w:r>
      <w:r w:rsidR="00B0635F">
        <w:rPr>
          <w:rFonts w:eastAsiaTheme="minorHAnsi"/>
          <w:lang w:val="en-US" w:bidi="ar-SA"/>
        </w:rPr>
        <w:t>the</w:t>
      </w:r>
      <w:r w:rsidR="0012547B">
        <w:rPr>
          <w:rFonts w:eastAsiaTheme="minorHAnsi"/>
          <w:lang w:val="en-US" w:bidi="ar-SA"/>
        </w:rPr>
        <w:t xml:space="preserve"> bottoms of the</w:t>
      </w:r>
      <w:r w:rsidR="00B0635F">
        <w:rPr>
          <w:rFonts w:eastAsiaTheme="minorHAnsi"/>
          <w:lang w:val="en-US" w:bidi="ar-SA"/>
        </w:rPr>
        <w:t xml:space="preserve"> </w:t>
      </w:r>
      <w:r w:rsidR="00783921">
        <w:rPr>
          <w:rFonts w:eastAsiaTheme="minorHAnsi"/>
          <w:lang w:val="en-US" w:bidi="ar-SA"/>
        </w:rPr>
        <w:t xml:space="preserve">known </w:t>
      </w:r>
      <w:r w:rsidR="00B0635F">
        <w:rPr>
          <w:rFonts w:eastAsiaTheme="minorHAnsi"/>
          <w:lang w:val="en-US" w:bidi="ar-SA"/>
        </w:rPr>
        <w:t xml:space="preserve">epithermal deposits </w:t>
      </w:r>
      <w:r w:rsidR="00CA50C1">
        <w:rPr>
          <w:rFonts w:eastAsiaTheme="minorHAnsi"/>
          <w:lang w:val="en-US" w:bidi="ar-SA"/>
        </w:rPr>
        <w:t>at Thor</w:t>
      </w:r>
      <w:r w:rsidR="0012547B">
        <w:rPr>
          <w:rFonts w:eastAsiaTheme="minorHAnsi"/>
          <w:lang w:val="en-US" w:bidi="ar-SA"/>
        </w:rPr>
        <w:t xml:space="preserve"> are</w:t>
      </w:r>
      <w:r w:rsidR="00B0635F">
        <w:rPr>
          <w:rFonts w:eastAsiaTheme="minorHAnsi"/>
          <w:lang w:val="en-US" w:bidi="ar-SA"/>
        </w:rPr>
        <w:t xml:space="preserve"> well-defined</w:t>
      </w:r>
      <w:r w:rsidR="00783921">
        <w:rPr>
          <w:rFonts w:eastAsiaTheme="minorHAnsi"/>
          <w:lang w:val="en-US" w:bidi="ar-SA"/>
        </w:rPr>
        <w:t xml:space="preserve"> by drilling</w:t>
      </w:r>
      <w:r w:rsidR="00B0635F">
        <w:rPr>
          <w:rFonts w:eastAsiaTheme="minorHAnsi"/>
          <w:lang w:val="en-US" w:bidi="ar-SA"/>
        </w:rPr>
        <w:t xml:space="preserve">, the down-dip extensions </w:t>
      </w:r>
      <w:r w:rsidR="001E63B2">
        <w:rPr>
          <w:rFonts w:eastAsiaTheme="minorHAnsi"/>
          <w:lang w:val="en-US" w:bidi="ar-SA"/>
        </w:rPr>
        <w:t xml:space="preserve">of the </w:t>
      </w:r>
      <w:r w:rsidR="00552B07">
        <w:rPr>
          <w:rFonts w:eastAsiaTheme="minorHAnsi"/>
          <w:lang w:val="en-US" w:bidi="ar-SA"/>
        </w:rPr>
        <w:t>e</w:t>
      </w:r>
      <w:r w:rsidR="001E63B2">
        <w:rPr>
          <w:rFonts w:eastAsiaTheme="minorHAnsi"/>
          <w:lang w:val="en-US" w:bidi="ar-SA"/>
        </w:rPr>
        <w:t>pithermal deposit</w:t>
      </w:r>
      <w:r w:rsidR="00CA50C1">
        <w:rPr>
          <w:rFonts w:eastAsiaTheme="minorHAnsi"/>
          <w:lang w:val="en-US" w:bidi="ar-SA"/>
        </w:rPr>
        <w:t>s</w:t>
      </w:r>
      <w:r w:rsidR="001E63B2">
        <w:rPr>
          <w:rFonts w:eastAsiaTheme="minorHAnsi"/>
          <w:lang w:val="en-US" w:bidi="ar-SA"/>
        </w:rPr>
        <w:t xml:space="preserve"> are</w:t>
      </w:r>
      <w:r w:rsidR="007720F3">
        <w:rPr>
          <w:rFonts w:eastAsiaTheme="minorHAnsi"/>
          <w:lang w:val="en-US" w:bidi="ar-SA"/>
        </w:rPr>
        <w:t xml:space="preserve"> </w:t>
      </w:r>
      <w:r w:rsidR="001E63B2">
        <w:rPr>
          <w:rFonts w:eastAsiaTheme="minorHAnsi"/>
          <w:lang w:val="en-US" w:bidi="ar-SA"/>
        </w:rPr>
        <w:t xml:space="preserve">probably </w:t>
      </w:r>
      <w:r w:rsidR="001A718F">
        <w:rPr>
          <w:rFonts w:eastAsiaTheme="minorHAnsi"/>
          <w:lang w:val="en-US" w:bidi="ar-SA"/>
        </w:rPr>
        <w:t xml:space="preserve">offset by </w:t>
      </w:r>
      <w:r w:rsidR="00CF0CE9">
        <w:rPr>
          <w:rFonts w:eastAsiaTheme="minorHAnsi"/>
          <w:lang w:val="en-US" w:bidi="ar-SA"/>
        </w:rPr>
        <w:t xml:space="preserve">high-angle reverse </w:t>
      </w:r>
      <w:r w:rsidR="001A718F">
        <w:rPr>
          <w:rFonts w:eastAsiaTheme="minorHAnsi"/>
          <w:lang w:val="en-US" w:bidi="ar-SA"/>
        </w:rPr>
        <w:t>faults</w:t>
      </w:r>
      <w:r w:rsidR="0012547B">
        <w:rPr>
          <w:rFonts w:eastAsiaTheme="minorHAnsi"/>
          <w:lang w:val="en-US" w:bidi="ar-SA"/>
        </w:rPr>
        <w:t xml:space="preserve">, staircasing </w:t>
      </w:r>
      <w:r w:rsidR="00B0635F">
        <w:rPr>
          <w:rFonts w:eastAsiaTheme="minorHAnsi"/>
          <w:lang w:val="en-US" w:bidi="ar-SA"/>
        </w:rPr>
        <w:t>down towards the buried intrusive body</w:t>
      </w:r>
      <w:r w:rsidR="001E63B2">
        <w:rPr>
          <w:rFonts w:eastAsiaTheme="minorHAnsi"/>
          <w:lang w:val="en-US" w:bidi="ar-SA"/>
        </w:rPr>
        <w:t>.</w:t>
      </w:r>
      <w:r w:rsidR="00552B07">
        <w:rPr>
          <w:rFonts w:eastAsiaTheme="minorHAnsi"/>
          <w:lang w:val="en-US" w:bidi="ar-SA"/>
        </w:rPr>
        <w:t xml:space="preserve"> Evidence for these faults was </w:t>
      </w:r>
      <w:r w:rsidR="00D226DD">
        <w:rPr>
          <w:rFonts w:eastAsiaTheme="minorHAnsi"/>
          <w:lang w:val="en-US" w:bidi="ar-SA"/>
        </w:rPr>
        <w:t>found</w:t>
      </w:r>
      <w:r w:rsidR="00552B07">
        <w:rPr>
          <w:rFonts w:eastAsiaTheme="minorHAnsi"/>
          <w:lang w:val="en-US" w:bidi="ar-SA"/>
        </w:rPr>
        <w:t xml:space="preserve"> in the 2021 drilling</w:t>
      </w:r>
      <w:r w:rsidR="00D226DD">
        <w:rPr>
          <w:rFonts w:eastAsiaTheme="minorHAnsi"/>
          <w:lang w:val="en-US" w:bidi="ar-SA"/>
        </w:rPr>
        <w:t xml:space="preserve">, and re-examination of EM-37 data has indicated the presence of conductive bodies at depth that are </w:t>
      </w:r>
      <w:r w:rsidR="0012547B">
        <w:rPr>
          <w:rFonts w:eastAsiaTheme="minorHAnsi"/>
          <w:lang w:val="en-US" w:bidi="ar-SA"/>
        </w:rPr>
        <w:t>consistent with</w:t>
      </w:r>
      <w:r w:rsidR="00D226DD">
        <w:rPr>
          <w:rFonts w:eastAsiaTheme="minorHAnsi"/>
          <w:lang w:val="en-US" w:bidi="ar-SA"/>
        </w:rPr>
        <w:t xml:space="preserve"> these </w:t>
      </w:r>
      <w:r w:rsidR="007720F3">
        <w:rPr>
          <w:rFonts w:eastAsiaTheme="minorHAnsi"/>
          <w:lang w:val="en-US" w:bidi="ar-SA"/>
        </w:rPr>
        <w:t xml:space="preserve">important </w:t>
      </w:r>
      <w:r w:rsidR="00D226DD">
        <w:rPr>
          <w:rFonts w:eastAsiaTheme="minorHAnsi"/>
          <w:lang w:val="en-US" w:bidi="ar-SA"/>
        </w:rPr>
        <w:t>faults.</w:t>
      </w:r>
      <w:r w:rsidR="0012547B">
        <w:rPr>
          <w:rFonts w:eastAsiaTheme="minorHAnsi"/>
          <w:lang w:val="en-US" w:bidi="ar-SA"/>
        </w:rPr>
        <w:t xml:space="preserve"> </w:t>
      </w:r>
      <w:r w:rsidR="00E74C71">
        <w:rPr>
          <w:rFonts w:eastAsiaTheme="minorHAnsi"/>
          <w:lang w:val="en-US" w:bidi="ar-SA"/>
        </w:rPr>
        <w:t>Thus, f</w:t>
      </w:r>
      <w:r w:rsidR="0012547B">
        <w:rPr>
          <w:rFonts w:eastAsiaTheme="minorHAnsi"/>
          <w:lang w:val="en-US" w:bidi="ar-SA"/>
        </w:rPr>
        <w:t xml:space="preserve">urther discoveries of significant epithermal systems </w:t>
      </w:r>
      <w:r w:rsidR="00E74C71">
        <w:rPr>
          <w:rFonts w:eastAsiaTheme="minorHAnsi"/>
          <w:lang w:val="en-US" w:bidi="ar-SA"/>
        </w:rPr>
        <w:t>are</w:t>
      </w:r>
      <w:r w:rsidR="0012547B">
        <w:rPr>
          <w:rFonts w:eastAsiaTheme="minorHAnsi"/>
          <w:lang w:val="en-US" w:bidi="ar-SA"/>
        </w:rPr>
        <w:t xml:space="preserve"> likely with deeper drilling to the east of the established resource.</w:t>
      </w:r>
    </w:p>
    <w:p w14:paraId="3A77472E" w14:textId="79DB49DC" w:rsidR="004B7ECC" w:rsidRPr="00F74120" w:rsidRDefault="00CA50C1" w:rsidP="00741528">
      <w:pPr>
        <w:spacing w:after="160" w:line="259" w:lineRule="auto"/>
        <w:jc w:val="both"/>
        <w:rPr>
          <w:rFonts w:eastAsiaTheme="minorHAnsi"/>
          <w:b/>
          <w:bCs/>
          <w:lang w:val="en-US" w:bidi="ar-SA"/>
        </w:rPr>
      </w:pPr>
      <w:r>
        <w:rPr>
          <w:rFonts w:eastAsiaTheme="minorHAnsi"/>
          <w:b/>
          <w:bCs/>
          <w:lang w:val="en-US" w:bidi="ar-SA"/>
        </w:rPr>
        <w:t>Intrusive Target</w:t>
      </w:r>
    </w:p>
    <w:p w14:paraId="10A9BAB9" w14:textId="5FE4E99B" w:rsidR="00BB7304" w:rsidRDefault="004B7ECC" w:rsidP="00741528">
      <w:pPr>
        <w:spacing w:after="160" w:line="259" w:lineRule="auto"/>
        <w:jc w:val="both"/>
        <w:rPr>
          <w:rFonts w:eastAsiaTheme="minorHAnsi"/>
          <w:lang w:val="en-US" w:bidi="ar-SA"/>
        </w:rPr>
      </w:pPr>
      <w:r>
        <w:rPr>
          <w:rFonts w:eastAsiaTheme="minorHAnsi"/>
          <w:lang w:val="en-US" w:bidi="ar-SA"/>
        </w:rPr>
        <w:t xml:space="preserve">In the last several decades, exploration for porphyry </w:t>
      </w:r>
      <w:r w:rsidR="005F0023">
        <w:rPr>
          <w:rFonts w:eastAsiaTheme="minorHAnsi"/>
          <w:lang w:val="en-US" w:bidi="ar-SA"/>
        </w:rPr>
        <w:t>deposits</w:t>
      </w:r>
      <w:r>
        <w:rPr>
          <w:rFonts w:eastAsiaTheme="minorHAnsi"/>
          <w:lang w:val="en-US" w:bidi="ar-SA"/>
        </w:rPr>
        <w:t xml:space="preserve"> </w:t>
      </w:r>
      <w:r w:rsidR="00DC1859">
        <w:rPr>
          <w:rFonts w:eastAsiaTheme="minorHAnsi"/>
          <w:lang w:val="en-US" w:bidi="ar-SA"/>
        </w:rPr>
        <w:t xml:space="preserve">in British Columbia and elsewhere </w:t>
      </w:r>
      <w:r>
        <w:rPr>
          <w:rFonts w:eastAsiaTheme="minorHAnsi"/>
          <w:lang w:val="en-US" w:bidi="ar-SA"/>
        </w:rPr>
        <w:t xml:space="preserve">has moved towards the discovery of </w:t>
      </w:r>
      <w:r w:rsidR="00DC1859">
        <w:rPr>
          <w:rFonts w:eastAsiaTheme="minorHAnsi"/>
          <w:lang w:val="en-US" w:bidi="ar-SA"/>
        </w:rPr>
        <w:t xml:space="preserve">concealed </w:t>
      </w:r>
      <w:r>
        <w:rPr>
          <w:rFonts w:eastAsiaTheme="minorHAnsi"/>
          <w:lang w:val="en-US" w:bidi="ar-SA"/>
        </w:rPr>
        <w:t>bodies</w:t>
      </w:r>
      <w:r w:rsidR="00BF79A7">
        <w:rPr>
          <w:rFonts w:eastAsiaTheme="minorHAnsi"/>
          <w:lang w:val="en-US" w:bidi="ar-SA"/>
        </w:rPr>
        <w:t xml:space="preserve"> that can only be </w:t>
      </w:r>
      <w:r w:rsidR="00DF5EB3">
        <w:rPr>
          <w:rFonts w:eastAsiaTheme="minorHAnsi"/>
          <w:lang w:val="en-US" w:bidi="ar-SA"/>
        </w:rPr>
        <w:t>located</w:t>
      </w:r>
      <w:r w:rsidR="00BF79A7">
        <w:rPr>
          <w:rFonts w:eastAsiaTheme="minorHAnsi"/>
          <w:lang w:val="en-US" w:bidi="ar-SA"/>
        </w:rPr>
        <w:t xml:space="preserve"> through the use of geophysical surveys</w:t>
      </w:r>
      <w:r w:rsidR="00BB7304">
        <w:rPr>
          <w:rFonts w:eastAsiaTheme="minorHAnsi"/>
          <w:lang w:val="en-US" w:bidi="ar-SA"/>
        </w:rPr>
        <w:t>.</w:t>
      </w:r>
      <w:r w:rsidR="005F0023">
        <w:rPr>
          <w:rFonts w:eastAsiaTheme="minorHAnsi"/>
          <w:lang w:val="en-US" w:bidi="ar-SA"/>
        </w:rPr>
        <w:t xml:space="preserve"> </w:t>
      </w:r>
      <w:r w:rsidR="00BB7304">
        <w:rPr>
          <w:rFonts w:eastAsiaTheme="minorHAnsi"/>
          <w:lang w:val="en-US" w:bidi="ar-SA"/>
        </w:rPr>
        <w:t xml:space="preserve">Although the Trout Lake area is known to host at least one </w:t>
      </w:r>
      <w:r w:rsidR="00DC1859">
        <w:rPr>
          <w:rFonts w:eastAsiaTheme="minorHAnsi"/>
          <w:lang w:val="en-US" w:bidi="ar-SA"/>
        </w:rPr>
        <w:t xml:space="preserve">documented </w:t>
      </w:r>
      <w:r w:rsidR="00BB7304">
        <w:rPr>
          <w:rFonts w:eastAsiaTheme="minorHAnsi"/>
          <w:lang w:val="en-US" w:bidi="ar-SA"/>
        </w:rPr>
        <w:t xml:space="preserve">porphyry deposit (Max </w:t>
      </w:r>
      <w:r w:rsidR="00DC1859">
        <w:rPr>
          <w:rFonts w:eastAsiaTheme="minorHAnsi"/>
          <w:lang w:val="en-US" w:bidi="ar-SA"/>
        </w:rPr>
        <w:t>m</w:t>
      </w:r>
      <w:r w:rsidR="005F0023">
        <w:rPr>
          <w:rFonts w:eastAsiaTheme="minorHAnsi"/>
          <w:lang w:val="en-US" w:bidi="ar-SA"/>
        </w:rPr>
        <w:t>olybdenum</w:t>
      </w:r>
      <w:r w:rsidR="00BB7304">
        <w:rPr>
          <w:rFonts w:eastAsiaTheme="minorHAnsi"/>
          <w:lang w:val="en-US" w:bidi="ar-SA"/>
        </w:rPr>
        <w:t xml:space="preserve">), there has been no regional geophysical surveying </w:t>
      </w:r>
      <w:r w:rsidR="00DC1859">
        <w:rPr>
          <w:rFonts w:eastAsiaTheme="minorHAnsi"/>
          <w:lang w:val="en-US" w:bidi="ar-SA"/>
        </w:rPr>
        <w:t xml:space="preserve">undertaken to </w:t>
      </w:r>
      <w:r w:rsidR="00BB7304">
        <w:rPr>
          <w:rFonts w:eastAsiaTheme="minorHAnsi"/>
          <w:lang w:val="en-US" w:bidi="ar-SA"/>
        </w:rPr>
        <w:t xml:space="preserve">identify other porphyry </w:t>
      </w:r>
      <w:r w:rsidR="0012547B">
        <w:rPr>
          <w:rFonts w:eastAsiaTheme="minorHAnsi"/>
          <w:lang w:val="en-US" w:bidi="ar-SA"/>
        </w:rPr>
        <w:t>prospects</w:t>
      </w:r>
      <w:r w:rsidR="00BB7304">
        <w:rPr>
          <w:rFonts w:eastAsiaTheme="minorHAnsi"/>
          <w:lang w:val="en-US" w:bidi="ar-SA"/>
        </w:rPr>
        <w:t xml:space="preserve"> in the area</w:t>
      </w:r>
      <w:r w:rsidR="00552B07">
        <w:rPr>
          <w:rFonts w:eastAsiaTheme="minorHAnsi"/>
          <w:lang w:val="en-US" w:bidi="ar-SA"/>
        </w:rPr>
        <w:t>.</w:t>
      </w:r>
    </w:p>
    <w:p w14:paraId="3B68933C" w14:textId="25F4E520" w:rsidR="00F74120" w:rsidRPr="00F74120" w:rsidRDefault="00CA50C1" w:rsidP="00741528">
      <w:pPr>
        <w:spacing w:after="160" w:line="259" w:lineRule="auto"/>
        <w:jc w:val="both"/>
        <w:rPr>
          <w:rFonts w:eastAsiaTheme="minorHAnsi"/>
          <w:lang w:val="en-US" w:bidi="ar-SA"/>
        </w:rPr>
      </w:pPr>
      <w:r>
        <w:rPr>
          <w:rFonts w:eastAsiaTheme="minorHAnsi"/>
          <w:lang w:val="en-US" w:bidi="ar-SA"/>
        </w:rPr>
        <w:t>Geophysical m</w:t>
      </w:r>
      <w:r w:rsidR="00DC1859">
        <w:rPr>
          <w:rFonts w:eastAsiaTheme="minorHAnsi"/>
          <w:lang w:val="en-US" w:bidi="ar-SA"/>
        </w:rPr>
        <w:t xml:space="preserve">odelling shows </w:t>
      </w:r>
      <w:r w:rsidR="006E5AC9">
        <w:rPr>
          <w:rFonts w:eastAsiaTheme="minorHAnsi"/>
          <w:lang w:val="en-US" w:bidi="ar-SA"/>
        </w:rPr>
        <w:t>th</w:t>
      </w:r>
      <w:r>
        <w:rPr>
          <w:rFonts w:eastAsiaTheme="minorHAnsi"/>
          <w:lang w:val="en-US" w:bidi="ar-SA"/>
        </w:rPr>
        <w:t xml:space="preserve">e </w:t>
      </w:r>
      <w:r w:rsidR="00757C3C">
        <w:rPr>
          <w:rFonts w:eastAsiaTheme="minorHAnsi"/>
          <w:lang w:val="en-US" w:bidi="ar-SA"/>
        </w:rPr>
        <w:t>Intrusive</w:t>
      </w:r>
      <w:r w:rsidR="0012547B">
        <w:rPr>
          <w:rFonts w:eastAsiaTheme="minorHAnsi"/>
          <w:lang w:val="en-US" w:bidi="ar-SA"/>
        </w:rPr>
        <w:t xml:space="preserve"> Target</w:t>
      </w:r>
      <w:r>
        <w:rPr>
          <w:rFonts w:eastAsiaTheme="minorHAnsi"/>
          <w:lang w:val="en-US" w:bidi="ar-SA"/>
        </w:rPr>
        <w:t xml:space="preserve"> </w:t>
      </w:r>
      <w:r w:rsidR="00F74120" w:rsidRPr="00F74120">
        <w:rPr>
          <w:rFonts w:eastAsiaTheme="minorHAnsi"/>
          <w:lang w:val="en-US" w:bidi="ar-SA"/>
        </w:rPr>
        <w:t xml:space="preserve">is buried below the surface </w:t>
      </w:r>
      <w:r w:rsidR="00DC1859">
        <w:rPr>
          <w:rFonts w:eastAsiaTheme="minorHAnsi"/>
          <w:lang w:val="en-US" w:bidi="ar-SA"/>
        </w:rPr>
        <w:t xml:space="preserve">at a depth of </w:t>
      </w:r>
      <w:r w:rsidR="00552B07">
        <w:rPr>
          <w:rFonts w:eastAsiaTheme="minorHAnsi"/>
          <w:lang w:val="en-US" w:bidi="ar-SA"/>
        </w:rPr>
        <w:t xml:space="preserve">approximately </w:t>
      </w:r>
      <w:r w:rsidR="00DC1859">
        <w:rPr>
          <w:rFonts w:eastAsiaTheme="minorHAnsi"/>
          <w:lang w:val="en-US" w:bidi="ar-SA"/>
        </w:rPr>
        <w:t>200</w:t>
      </w:r>
      <w:r w:rsidR="00552B07">
        <w:rPr>
          <w:rFonts w:eastAsiaTheme="minorHAnsi"/>
          <w:lang w:val="en-US" w:bidi="ar-SA"/>
        </w:rPr>
        <w:t xml:space="preserve"> </w:t>
      </w:r>
      <w:r w:rsidR="006561B1">
        <w:rPr>
          <w:rFonts w:eastAsiaTheme="minorHAnsi"/>
          <w:lang w:val="en-US" w:bidi="ar-SA"/>
        </w:rPr>
        <w:t>m and</w:t>
      </w:r>
      <w:r w:rsidR="00DC1859">
        <w:rPr>
          <w:rFonts w:eastAsiaTheme="minorHAnsi"/>
          <w:lang w:val="en-US" w:bidi="ar-SA"/>
        </w:rPr>
        <w:t xml:space="preserve"> </w:t>
      </w:r>
      <w:r w:rsidR="003F5BA1">
        <w:rPr>
          <w:rFonts w:eastAsiaTheme="minorHAnsi"/>
          <w:lang w:val="en-US" w:bidi="ar-SA"/>
        </w:rPr>
        <w:t xml:space="preserve">is spatially </w:t>
      </w:r>
      <w:r w:rsidR="006561B1">
        <w:rPr>
          <w:rFonts w:eastAsiaTheme="minorHAnsi"/>
          <w:lang w:val="en-US" w:bidi="ar-SA"/>
        </w:rPr>
        <w:t>cor</w:t>
      </w:r>
      <w:r w:rsidR="003F5BA1">
        <w:rPr>
          <w:rFonts w:eastAsiaTheme="minorHAnsi"/>
          <w:lang w:val="en-US" w:bidi="ar-SA"/>
        </w:rPr>
        <w:t xml:space="preserve">related to the </w:t>
      </w:r>
      <w:r>
        <w:rPr>
          <w:rFonts w:eastAsiaTheme="minorHAnsi"/>
          <w:lang w:val="en-US" w:bidi="ar-SA"/>
        </w:rPr>
        <w:t>near</w:t>
      </w:r>
      <w:r w:rsidR="00552B07">
        <w:rPr>
          <w:rFonts w:eastAsiaTheme="minorHAnsi"/>
          <w:lang w:val="en-US" w:bidi="ar-SA"/>
        </w:rPr>
        <w:t>-</w:t>
      </w:r>
      <w:r>
        <w:rPr>
          <w:rFonts w:eastAsiaTheme="minorHAnsi"/>
          <w:lang w:val="en-US" w:bidi="ar-SA"/>
        </w:rPr>
        <w:t xml:space="preserve">surface </w:t>
      </w:r>
      <w:r w:rsidR="005F0023">
        <w:rPr>
          <w:rFonts w:eastAsiaTheme="minorHAnsi"/>
          <w:lang w:val="en-US" w:bidi="ar-SA"/>
        </w:rPr>
        <w:t xml:space="preserve">epithermal </w:t>
      </w:r>
      <w:r w:rsidR="003F5BA1">
        <w:rPr>
          <w:rFonts w:eastAsiaTheme="minorHAnsi"/>
          <w:lang w:val="en-US" w:bidi="ar-SA"/>
        </w:rPr>
        <w:t xml:space="preserve">deposits. </w:t>
      </w:r>
      <w:r w:rsidR="00A83458">
        <w:rPr>
          <w:rFonts w:eastAsiaTheme="minorHAnsi"/>
          <w:lang w:val="en-US" w:bidi="ar-SA"/>
        </w:rPr>
        <w:t>On the geological map, th</w:t>
      </w:r>
      <w:r w:rsidR="00552B07">
        <w:rPr>
          <w:rFonts w:eastAsiaTheme="minorHAnsi"/>
          <w:lang w:val="en-US" w:bidi="ar-SA"/>
        </w:rPr>
        <w:t xml:space="preserve">e </w:t>
      </w:r>
      <w:r w:rsidR="006561B1">
        <w:rPr>
          <w:rFonts w:eastAsiaTheme="minorHAnsi"/>
          <w:lang w:val="en-US" w:bidi="ar-SA"/>
        </w:rPr>
        <w:t>i</w:t>
      </w:r>
      <w:r w:rsidR="00757C3C">
        <w:rPr>
          <w:rFonts w:eastAsiaTheme="minorHAnsi"/>
          <w:lang w:val="en-US" w:bidi="ar-SA"/>
        </w:rPr>
        <w:t>ntrusive</w:t>
      </w:r>
      <w:r w:rsidR="00552B07">
        <w:rPr>
          <w:rFonts w:eastAsiaTheme="minorHAnsi"/>
          <w:lang w:val="en-US" w:bidi="ar-SA"/>
        </w:rPr>
        <w:t xml:space="preserve"> </w:t>
      </w:r>
      <w:r w:rsidR="00A83458">
        <w:rPr>
          <w:rFonts w:eastAsiaTheme="minorHAnsi"/>
          <w:lang w:val="en-US" w:bidi="ar-SA"/>
        </w:rPr>
        <w:t xml:space="preserve">feature </w:t>
      </w:r>
      <w:r w:rsidR="006F7D91">
        <w:rPr>
          <w:rFonts w:eastAsiaTheme="minorHAnsi"/>
          <w:lang w:val="en-US" w:bidi="ar-SA"/>
        </w:rPr>
        <w:t>as</w:t>
      </w:r>
      <w:r w:rsidR="00E74C71">
        <w:rPr>
          <w:rFonts w:eastAsiaTheme="minorHAnsi"/>
          <w:lang w:val="en-US" w:bidi="ar-SA"/>
        </w:rPr>
        <w:t xml:space="preserve"> modeled by</w:t>
      </w:r>
      <w:r w:rsidR="006F7D91">
        <w:rPr>
          <w:rFonts w:eastAsiaTheme="minorHAnsi"/>
          <w:lang w:val="en-US" w:bidi="ar-SA"/>
        </w:rPr>
        <w:t xml:space="preserve"> ground magnetics </w:t>
      </w:r>
      <w:r w:rsidR="00A83458">
        <w:rPr>
          <w:rFonts w:eastAsiaTheme="minorHAnsi"/>
          <w:lang w:val="en-US" w:bidi="ar-SA"/>
        </w:rPr>
        <w:t xml:space="preserve">forms a </w:t>
      </w:r>
      <w:r w:rsidR="00552B07">
        <w:rPr>
          <w:rFonts w:eastAsiaTheme="minorHAnsi"/>
          <w:lang w:val="en-US" w:bidi="ar-SA"/>
        </w:rPr>
        <w:t xml:space="preserve">pronounced </w:t>
      </w:r>
      <w:r w:rsidR="00A83458">
        <w:rPr>
          <w:rFonts w:eastAsiaTheme="minorHAnsi"/>
          <w:lang w:val="en-US" w:bidi="ar-SA"/>
        </w:rPr>
        <w:t>structural ‘knot’</w:t>
      </w:r>
      <w:r w:rsidR="00552B07">
        <w:rPr>
          <w:rFonts w:eastAsiaTheme="minorHAnsi"/>
          <w:lang w:val="en-US" w:bidi="ar-SA"/>
        </w:rPr>
        <w:t xml:space="preserve"> even though it does not outcrop at surface. </w:t>
      </w:r>
      <w:r w:rsidR="005F0023">
        <w:rPr>
          <w:rFonts w:eastAsiaTheme="minorHAnsi"/>
          <w:lang w:val="en-US" w:bidi="ar-SA"/>
        </w:rPr>
        <w:t xml:space="preserve">The upcoming airborne survey will expand </w:t>
      </w:r>
      <w:r w:rsidR="00741528">
        <w:rPr>
          <w:rFonts w:eastAsiaTheme="minorHAnsi"/>
          <w:lang w:val="en-US" w:bidi="ar-SA"/>
        </w:rPr>
        <w:t>the Company’s</w:t>
      </w:r>
      <w:r w:rsidR="005F0023">
        <w:rPr>
          <w:rFonts w:eastAsiaTheme="minorHAnsi"/>
          <w:lang w:val="en-US" w:bidi="ar-SA"/>
        </w:rPr>
        <w:t xml:space="preserve"> knowledge of th</w:t>
      </w:r>
      <w:r w:rsidR="006F7D91">
        <w:rPr>
          <w:rFonts w:eastAsiaTheme="minorHAnsi"/>
          <w:lang w:val="en-US" w:bidi="ar-SA"/>
        </w:rPr>
        <w:t>is important target,</w:t>
      </w:r>
      <w:r w:rsidR="00E74C71">
        <w:rPr>
          <w:rFonts w:eastAsiaTheme="minorHAnsi"/>
          <w:lang w:val="en-US" w:bidi="ar-SA"/>
        </w:rPr>
        <w:t xml:space="preserve"> enabling</w:t>
      </w:r>
      <w:r w:rsidR="006F7D91">
        <w:rPr>
          <w:rFonts w:eastAsiaTheme="minorHAnsi"/>
          <w:lang w:val="en-US" w:bidi="ar-SA"/>
        </w:rPr>
        <w:t xml:space="preserve"> </w:t>
      </w:r>
      <w:r w:rsidR="003432F5">
        <w:rPr>
          <w:rFonts w:eastAsiaTheme="minorHAnsi"/>
          <w:lang w:val="en-US" w:bidi="ar-SA"/>
        </w:rPr>
        <w:t>targeting</w:t>
      </w:r>
      <w:r w:rsidR="00E74C71">
        <w:rPr>
          <w:rFonts w:eastAsiaTheme="minorHAnsi"/>
          <w:lang w:val="en-US" w:bidi="ar-SA"/>
        </w:rPr>
        <w:t xml:space="preserve"> of</w:t>
      </w:r>
      <w:r>
        <w:rPr>
          <w:rFonts w:eastAsiaTheme="minorHAnsi"/>
          <w:lang w:val="en-US" w:bidi="ar-SA"/>
        </w:rPr>
        <w:t xml:space="preserve"> </w:t>
      </w:r>
      <w:r w:rsidR="00552B07">
        <w:rPr>
          <w:rFonts w:eastAsiaTheme="minorHAnsi"/>
          <w:lang w:val="en-US" w:bidi="ar-SA"/>
        </w:rPr>
        <w:t>th</w:t>
      </w:r>
      <w:r w:rsidR="006561B1">
        <w:rPr>
          <w:rFonts w:eastAsiaTheme="minorHAnsi"/>
          <w:lang w:val="en-US" w:bidi="ar-SA"/>
        </w:rPr>
        <w:t xml:space="preserve">e </w:t>
      </w:r>
      <w:r w:rsidR="00552B07">
        <w:rPr>
          <w:rFonts w:eastAsiaTheme="minorHAnsi"/>
          <w:lang w:val="en-US" w:bidi="ar-SA"/>
        </w:rPr>
        <w:t xml:space="preserve">feature </w:t>
      </w:r>
      <w:r>
        <w:rPr>
          <w:rFonts w:eastAsiaTheme="minorHAnsi"/>
          <w:lang w:val="en-US" w:bidi="ar-SA"/>
        </w:rPr>
        <w:t>at depths up to 1</w:t>
      </w:r>
      <w:r w:rsidR="0082670C">
        <w:rPr>
          <w:rFonts w:eastAsiaTheme="minorHAnsi"/>
          <w:lang w:val="en-US" w:bidi="ar-SA"/>
        </w:rPr>
        <w:t xml:space="preserve"> </w:t>
      </w:r>
      <w:r>
        <w:rPr>
          <w:rFonts w:eastAsiaTheme="minorHAnsi"/>
          <w:lang w:val="en-US" w:bidi="ar-SA"/>
        </w:rPr>
        <w:t>km below the surface.</w:t>
      </w:r>
    </w:p>
    <w:p w14:paraId="1D7C8566" w14:textId="2E511353" w:rsidR="00F74120" w:rsidRPr="00F74120" w:rsidRDefault="00475594" w:rsidP="00741528">
      <w:pPr>
        <w:spacing w:after="160" w:line="259" w:lineRule="auto"/>
        <w:jc w:val="both"/>
        <w:rPr>
          <w:rFonts w:eastAsiaTheme="minorHAnsi"/>
          <w:b/>
          <w:bCs/>
          <w:lang w:val="en-US" w:bidi="ar-SA"/>
        </w:rPr>
      </w:pPr>
      <w:r>
        <w:rPr>
          <w:rFonts w:eastAsiaTheme="minorHAnsi"/>
          <w:b/>
          <w:bCs/>
          <w:lang w:val="en-US" w:bidi="ar-SA"/>
        </w:rPr>
        <w:t>Hydrothermal A</w:t>
      </w:r>
      <w:r w:rsidR="00F74120" w:rsidRPr="00F74120">
        <w:rPr>
          <w:rFonts w:eastAsiaTheme="minorHAnsi"/>
          <w:b/>
          <w:bCs/>
          <w:lang w:val="en-US" w:bidi="ar-SA"/>
        </w:rPr>
        <w:t xml:space="preserve">lteration Around the </w:t>
      </w:r>
      <w:r w:rsidR="004272A4">
        <w:rPr>
          <w:rFonts w:eastAsiaTheme="minorHAnsi"/>
          <w:b/>
          <w:bCs/>
          <w:lang w:val="en-US" w:bidi="ar-SA"/>
        </w:rPr>
        <w:t>Intrusive Target</w:t>
      </w:r>
    </w:p>
    <w:p w14:paraId="6B52EFF5" w14:textId="23B7FDC7" w:rsidR="00F74120" w:rsidRPr="00F74120" w:rsidRDefault="00C87D22" w:rsidP="00741528">
      <w:pPr>
        <w:spacing w:after="160" w:line="259" w:lineRule="auto"/>
        <w:jc w:val="both"/>
        <w:rPr>
          <w:rFonts w:eastAsiaTheme="minorHAnsi"/>
          <w:lang w:val="en-US" w:bidi="ar-SA"/>
        </w:rPr>
      </w:pPr>
      <w:r>
        <w:rPr>
          <w:rFonts w:eastAsiaTheme="minorHAnsi"/>
          <w:lang w:val="en-US" w:bidi="ar-SA"/>
        </w:rPr>
        <w:t xml:space="preserve">Porphyry bodies </w:t>
      </w:r>
      <w:r w:rsidR="006561B1">
        <w:rPr>
          <w:rFonts w:eastAsiaTheme="minorHAnsi"/>
          <w:lang w:val="en-US" w:bidi="ar-SA"/>
        </w:rPr>
        <w:t xml:space="preserve">always </w:t>
      </w:r>
      <w:r>
        <w:rPr>
          <w:rFonts w:eastAsiaTheme="minorHAnsi"/>
          <w:lang w:val="en-US" w:bidi="ar-SA"/>
        </w:rPr>
        <w:t>exhibit distinct alteration around the central intrusive body</w:t>
      </w:r>
      <w:r w:rsidR="00E74C71">
        <w:rPr>
          <w:rFonts w:eastAsiaTheme="minorHAnsi"/>
          <w:lang w:val="en-US" w:bidi="ar-SA"/>
        </w:rPr>
        <w:t>. A</w:t>
      </w:r>
      <w:r w:rsidR="004272A4">
        <w:rPr>
          <w:rFonts w:eastAsiaTheme="minorHAnsi"/>
          <w:lang w:val="en-US" w:bidi="ar-SA"/>
        </w:rPr>
        <w:t xml:space="preserve">ll of these types of alteration have been documented at Thor. </w:t>
      </w:r>
      <w:r>
        <w:rPr>
          <w:rFonts w:eastAsiaTheme="minorHAnsi"/>
          <w:lang w:val="en-US" w:bidi="ar-SA"/>
        </w:rPr>
        <w:t xml:space="preserve">Epidote and chlorite alteration </w:t>
      </w:r>
      <w:r w:rsidR="004272A4">
        <w:rPr>
          <w:rFonts w:eastAsiaTheme="minorHAnsi"/>
          <w:lang w:val="en-US" w:bidi="ar-SA"/>
        </w:rPr>
        <w:t xml:space="preserve">(hornfels) </w:t>
      </w:r>
      <w:r>
        <w:rPr>
          <w:rFonts w:eastAsiaTheme="minorHAnsi"/>
          <w:lang w:val="en-US" w:bidi="ar-SA"/>
        </w:rPr>
        <w:t xml:space="preserve">has been </w:t>
      </w:r>
      <w:r w:rsidR="00F56F29">
        <w:rPr>
          <w:rFonts w:eastAsiaTheme="minorHAnsi"/>
          <w:lang w:val="en-US" w:bidi="ar-SA"/>
        </w:rPr>
        <w:t>documented in mapping</w:t>
      </w:r>
      <w:r>
        <w:rPr>
          <w:rFonts w:eastAsiaTheme="minorHAnsi"/>
          <w:lang w:val="en-US" w:bidi="ar-SA"/>
        </w:rPr>
        <w:t xml:space="preserve"> and </w:t>
      </w:r>
      <w:r w:rsidR="004272A4">
        <w:rPr>
          <w:rFonts w:eastAsiaTheme="minorHAnsi"/>
          <w:lang w:val="en-US" w:bidi="ar-SA"/>
        </w:rPr>
        <w:t xml:space="preserve">would </w:t>
      </w:r>
      <w:r>
        <w:rPr>
          <w:rFonts w:eastAsiaTheme="minorHAnsi"/>
          <w:lang w:val="en-US" w:bidi="ar-SA"/>
        </w:rPr>
        <w:t xml:space="preserve">correspond to the most distal propylitic alteration shell. </w:t>
      </w:r>
      <w:r w:rsidR="00AA20CD">
        <w:rPr>
          <w:rFonts w:eastAsiaTheme="minorHAnsi"/>
          <w:lang w:val="en-US" w:bidi="ar-SA"/>
        </w:rPr>
        <w:t>In addition, s</w:t>
      </w:r>
      <w:r w:rsidR="005F0023">
        <w:rPr>
          <w:rFonts w:eastAsiaTheme="minorHAnsi"/>
          <w:lang w:val="en-US" w:bidi="ar-SA"/>
        </w:rPr>
        <w:t>everal of the deep</w:t>
      </w:r>
      <w:r w:rsidR="00E74C71">
        <w:rPr>
          <w:rFonts w:eastAsiaTheme="minorHAnsi"/>
          <w:lang w:val="en-US" w:bidi="ar-SA"/>
        </w:rPr>
        <w:t>est</w:t>
      </w:r>
      <w:r w:rsidR="005F0023">
        <w:rPr>
          <w:rFonts w:eastAsiaTheme="minorHAnsi"/>
          <w:lang w:val="en-US" w:bidi="ar-SA"/>
        </w:rPr>
        <w:t xml:space="preserve"> drill holes at Thor have </w:t>
      </w:r>
      <w:r w:rsidR="00475594">
        <w:rPr>
          <w:rFonts w:eastAsiaTheme="minorHAnsi"/>
          <w:lang w:val="en-US" w:bidi="ar-SA"/>
        </w:rPr>
        <w:t>documented hundreds of m</w:t>
      </w:r>
      <w:r w:rsidR="000D3C3A">
        <w:rPr>
          <w:rFonts w:eastAsiaTheme="minorHAnsi"/>
          <w:lang w:val="en-US" w:bidi="ar-SA"/>
        </w:rPr>
        <w:t>eters</w:t>
      </w:r>
      <w:r w:rsidR="00475594">
        <w:rPr>
          <w:rFonts w:eastAsiaTheme="minorHAnsi"/>
          <w:lang w:val="en-US" w:bidi="ar-SA"/>
        </w:rPr>
        <w:t xml:space="preserve"> of </w:t>
      </w:r>
      <w:r>
        <w:rPr>
          <w:rFonts w:eastAsiaTheme="minorHAnsi"/>
          <w:lang w:val="en-US" w:bidi="ar-SA"/>
        </w:rPr>
        <w:t>phyllic</w:t>
      </w:r>
      <w:r w:rsidR="005F0023">
        <w:rPr>
          <w:rFonts w:eastAsiaTheme="minorHAnsi"/>
          <w:lang w:val="en-US" w:bidi="ar-SA"/>
        </w:rPr>
        <w:t xml:space="preserve"> alteration</w:t>
      </w:r>
      <w:r w:rsidR="000D3C3A">
        <w:rPr>
          <w:rFonts w:eastAsiaTheme="minorHAnsi"/>
          <w:lang w:val="en-US" w:bidi="ar-SA"/>
        </w:rPr>
        <w:t xml:space="preserve">. </w:t>
      </w:r>
      <w:r w:rsidR="00D93E7C">
        <w:rPr>
          <w:rFonts w:eastAsiaTheme="minorHAnsi"/>
          <w:lang w:val="en-US" w:bidi="ar-SA"/>
        </w:rPr>
        <w:t xml:space="preserve">Carbonization is another </w:t>
      </w:r>
      <w:r w:rsidR="0082670C">
        <w:rPr>
          <w:rFonts w:eastAsiaTheme="minorHAnsi"/>
          <w:lang w:val="en-US" w:bidi="ar-SA"/>
        </w:rPr>
        <w:t>type</w:t>
      </w:r>
      <w:r w:rsidR="00D93E7C">
        <w:rPr>
          <w:rFonts w:eastAsiaTheme="minorHAnsi"/>
          <w:lang w:val="en-US" w:bidi="ar-SA"/>
        </w:rPr>
        <w:t xml:space="preserve"> of alteration seen at Thor, and this has been </w:t>
      </w:r>
      <w:r w:rsidR="00F56F29">
        <w:rPr>
          <w:rFonts w:eastAsiaTheme="minorHAnsi"/>
          <w:lang w:val="en-US" w:bidi="ar-SA"/>
        </w:rPr>
        <w:t>observed</w:t>
      </w:r>
      <w:r w:rsidR="00D93E7C">
        <w:rPr>
          <w:rFonts w:eastAsiaTheme="minorHAnsi"/>
          <w:lang w:val="en-US" w:bidi="ar-SA"/>
        </w:rPr>
        <w:t xml:space="preserve"> in ground VLF surveys</w:t>
      </w:r>
      <w:r w:rsidR="00F56F29">
        <w:rPr>
          <w:rFonts w:eastAsiaTheme="minorHAnsi"/>
          <w:lang w:val="en-US" w:bidi="ar-SA"/>
        </w:rPr>
        <w:t xml:space="preserve"> making</w:t>
      </w:r>
      <w:r w:rsidR="00D93E7C">
        <w:rPr>
          <w:rFonts w:eastAsiaTheme="minorHAnsi"/>
          <w:lang w:val="en-US" w:bidi="ar-SA"/>
        </w:rPr>
        <w:t xml:space="preserve"> a distinct halo around the </w:t>
      </w:r>
      <w:r w:rsidR="00757C3C">
        <w:rPr>
          <w:rFonts w:eastAsiaTheme="minorHAnsi"/>
          <w:lang w:val="en-US" w:bidi="ar-SA"/>
        </w:rPr>
        <w:t>Intrusive</w:t>
      </w:r>
      <w:r w:rsidR="00D93E7C">
        <w:rPr>
          <w:rFonts w:eastAsiaTheme="minorHAnsi"/>
          <w:lang w:val="en-US" w:bidi="ar-SA"/>
        </w:rPr>
        <w:t>.</w:t>
      </w:r>
    </w:p>
    <w:p w14:paraId="67CC6BEF" w14:textId="60FA141A" w:rsidR="00F74120" w:rsidRPr="00055046" w:rsidRDefault="00055046" w:rsidP="00741528">
      <w:pPr>
        <w:spacing w:after="160" w:line="259" w:lineRule="auto"/>
        <w:jc w:val="both"/>
        <w:rPr>
          <w:rFonts w:eastAsiaTheme="minorHAnsi"/>
          <w:b/>
          <w:bCs/>
          <w:lang w:val="en-US" w:bidi="ar-SA"/>
        </w:rPr>
      </w:pPr>
      <w:r w:rsidRPr="00055046">
        <w:rPr>
          <w:rFonts w:eastAsiaTheme="minorHAnsi"/>
          <w:b/>
          <w:bCs/>
          <w:lang w:val="en-US" w:bidi="ar-SA"/>
        </w:rPr>
        <w:lastRenderedPageBreak/>
        <w:t>Comment</w:t>
      </w:r>
    </w:p>
    <w:p w14:paraId="1FB7D654" w14:textId="4263AC8C" w:rsidR="00F74120" w:rsidRPr="00F74120" w:rsidRDefault="00BC2C35" w:rsidP="00741528">
      <w:pPr>
        <w:spacing w:after="160" w:line="259" w:lineRule="auto"/>
        <w:jc w:val="both"/>
        <w:rPr>
          <w:rFonts w:eastAsiaTheme="minorHAnsi"/>
          <w:lang w:val="en-US" w:bidi="ar-SA"/>
        </w:rPr>
      </w:pPr>
      <w:r>
        <w:rPr>
          <w:rFonts w:eastAsiaTheme="minorHAnsi"/>
          <w:lang w:val="en-US" w:bidi="ar-SA"/>
        </w:rPr>
        <w:t xml:space="preserve">John Gardiner, President and CEO states </w:t>
      </w:r>
      <w:r w:rsidR="00DE68C8">
        <w:rPr>
          <w:rFonts w:eastAsiaTheme="minorHAnsi"/>
          <w:lang w:val="en-US" w:bidi="ar-SA"/>
        </w:rPr>
        <w:t>“</w:t>
      </w:r>
      <w:r w:rsidR="006561B1">
        <w:rPr>
          <w:rFonts w:eastAsiaTheme="minorHAnsi"/>
          <w:lang w:val="en-US" w:bidi="ar-SA"/>
        </w:rPr>
        <w:t xml:space="preserve">Ever since we began exploration at Thor in 2006, we’ve been taunted by the </w:t>
      </w:r>
      <w:r w:rsidR="00477282">
        <w:rPr>
          <w:rFonts w:eastAsiaTheme="minorHAnsi"/>
          <w:lang w:val="en-US" w:bidi="ar-SA"/>
        </w:rPr>
        <w:t xml:space="preserve">simple observation that </w:t>
      </w:r>
      <w:r w:rsidR="00DE68C8" w:rsidRPr="00DE68C8">
        <w:rPr>
          <w:rFonts w:eastAsiaTheme="minorHAnsi"/>
          <w:lang w:val="en-US" w:bidi="ar-SA"/>
        </w:rPr>
        <w:t>a 2 km long epithermal deposit at surface</w:t>
      </w:r>
      <w:r w:rsidR="00477282">
        <w:rPr>
          <w:rFonts w:eastAsiaTheme="minorHAnsi"/>
          <w:lang w:val="en-US" w:bidi="ar-SA"/>
        </w:rPr>
        <w:t xml:space="preserve"> doesn’t </w:t>
      </w:r>
      <w:r w:rsidR="006561B1">
        <w:rPr>
          <w:rFonts w:eastAsiaTheme="minorHAnsi"/>
          <w:lang w:val="en-US" w:bidi="ar-SA"/>
        </w:rPr>
        <w:t xml:space="preserve">just </w:t>
      </w:r>
      <w:r w:rsidR="00477282">
        <w:rPr>
          <w:rFonts w:eastAsiaTheme="minorHAnsi"/>
          <w:lang w:val="en-US" w:bidi="ar-SA"/>
        </w:rPr>
        <w:t xml:space="preserve">fall out of the sky. </w:t>
      </w:r>
      <w:r w:rsidR="00C92FF7">
        <w:rPr>
          <w:rFonts w:eastAsiaTheme="minorHAnsi"/>
          <w:lang w:val="en-US" w:bidi="ar-SA"/>
        </w:rPr>
        <w:t>M</w:t>
      </w:r>
      <w:r w:rsidR="00DE68C8" w:rsidRPr="00DE68C8">
        <w:rPr>
          <w:rFonts w:eastAsiaTheme="minorHAnsi"/>
          <w:lang w:val="en-US" w:bidi="ar-SA"/>
        </w:rPr>
        <w:t xml:space="preserve">ore than ever, the source </w:t>
      </w:r>
      <w:r w:rsidR="00477282">
        <w:rPr>
          <w:rFonts w:eastAsiaTheme="minorHAnsi"/>
          <w:lang w:val="en-US" w:bidi="ar-SA"/>
        </w:rPr>
        <w:t>of the epithermal deposits</w:t>
      </w:r>
      <w:r w:rsidR="00F56F29">
        <w:rPr>
          <w:rFonts w:eastAsiaTheme="minorHAnsi"/>
          <w:lang w:val="en-US" w:bidi="ar-SA"/>
        </w:rPr>
        <w:t xml:space="preserve"> </w:t>
      </w:r>
      <w:r w:rsidR="006561B1">
        <w:rPr>
          <w:rFonts w:eastAsiaTheme="minorHAnsi"/>
          <w:lang w:val="en-US" w:bidi="ar-SA"/>
        </w:rPr>
        <w:t>appears</w:t>
      </w:r>
      <w:r w:rsidR="00DE68C8" w:rsidRPr="00DE68C8">
        <w:rPr>
          <w:rFonts w:eastAsiaTheme="minorHAnsi"/>
          <w:lang w:val="en-US" w:bidi="ar-SA"/>
        </w:rPr>
        <w:t xml:space="preserve"> to be a buried porphyry body that </w:t>
      </w:r>
      <w:r w:rsidR="00E74C71">
        <w:rPr>
          <w:rFonts w:eastAsiaTheme="minorHAnsi"/>
          <w:lang w:val="en-US" w:bidi="ar-SA"/>
        </w:rPr>
        <w:t>served as</w:t>
      </w:r>
      <w:r w:rsidR="00DE68C8" w:rsidRPr="00DE68C8">
        <w:rPr>
          <w:rFonts w:eastAsiaTheme="minorHAnsi"/>
          <w:lang w:val="en-US" w:bidi="ar-SA"/>
        </w:rPr>
        <w:t xml:space="preserve"> the </w:t>
      </w:r>
      <w:r w:rsidR="00477282">
        <w:rPr>
          <w:rFonts w:eastAsiaTheme="minorHAnsi"/>
          <w:lang w:val="en-US" w:bidi="ar-SA"/>
        </w:rPr>
        <w:t>‘</w:t>
      </w:r>
      <w:r w:rsidR="00DE68C8" w:rsidRPr="00DE68C8">
        <w:rPr>
          <w:rFonts w:eastAsiaTheme="minorHAnsi"/>
          <w:lang w:val="en-US" w:bidi="ar-SA"/>
        </w:rPr>
        <w:t>heat engine</w:t>
      </w:r>
      <w:r w:rsidR="00E74C71">
        <w:rPr>
          <w:rFonts w:eastAsiaTheme="minorHAnsi"/>
          <w:lang w:val="en-US" w:bidi="ar-SA"/>
        </w:rPr>
        <w:t xml:space="preserve">’ behind their </w:t>
      </w:r>
      <w:r w:rsidR="0082670C">
        <w:rPr>
          <w:rFonts w:eastAsiaTheme="minorHAnsi"/>
          <w:lang w:val="en-US" w:bidi="ar-SA"/>
        </w:rPr>
        <w:t>genesis</w:t>
      </w:r>
      <w:r w:rsidR="00D226DD">
        <w:rPr>
          <w:rFonts w:eastAsiaTheme="minorHAnsi"/>
          <w:lang w:val="en-US" w:bidi="ar-SA"/>
        </w:rPr>
        <w:t>.</w:t>
      </w:r>
      <w:r w:rsidR="006561B1">
        <w:rPr>
          <w:rFonts w:eastAsiaTheme="minorHAnsi"/>
          <w:lang w:val="en-US" w:bidi="ar-SA"/>
        </w:rPr>
        <w:t xml:space="preserve"> </w:t>
      </w:r>
      <w:r w:rsidR="00741528" w:rsidRPr="00741528">
        <w:rPr>
          <w:rFonts w:eastAsiaTheme="minorHAnsi"/>
          <w:lang w:val="en-US" w:bidi="ar-SA"/>
        </w:rPr>
        <w:t xml:space="preserve"> I</w:t>
      </w:r>
      <w:r w:rsidR="006561B1" w:rsidRPr="00741528">
        <w:rPr>
          <w:rFonts w:eastAsiaTheme="minorHAnsi"/>
          <w:lang w:val="en-US" w:bidi="ar-SA"/>
        </w:rPr>
        <w:t>t</w:t>
      </w:r>
      <w:r w:rsidR="006561B1">
        <w:rPr>
          <w:rFonts w:eastAsiaTheme="minorHAnsi"/>
          <w:lang w:val="en-US" w:bidi="ar-SA"/>
        </w:rPr>
        <w:t xml:space="preserve"> appears that this source is buried </w:t>
      </w:r>
      <w:r w:rsidR="0082670C">
        <w:rPr>
          <w:rFonts w:eastAsiaTheme="minorHAnsi"/>
          <w:lang w:val="en-US" w:bidi="ar-SA"/>
        </w:rPr>
        <w:t xml:space="preserve">below the outcropping epithermal deposits. </w:t>
      </w:r>
      <w:r w:rsidR="0034299F">
        <w:rPr>
          <w:rFonts w:eastAsiaTheme="minorHAnsi"/>
          <w:lang w:val="en-US" w:bidi="ar-SA"/>
        </w:rPr>
        <w:t xml:space="preserve">The upcoming airborne mag and EM survey </w:t>
      </w:r>
      <w:r w:rsidR="003843B3">
        <w:rPr>
          <w:rFonts w:eastAsiaTheme="minorHAnsi"/>
          <w:lang w:val="en-US" w:bidi="ar-SA"/>
        </w:rPr>
        <w:t xml:space="preserve">are going to be instrumental in </w:t>
      </w:r>
      <w:r w:rsidR="00D12E3A">
        <w:rPr>
          <w:rFonts w:eastAsiaTheme="minorHAnsi"/>
          <w:lang w:val="en-US" w:bidi="ar-SA"/>
        </w:rPr>
        <w:t xml:space="preserve">detailing this possible </w:t>
      </w:r>
      <w:r w:rsidR="006561B1">
        <w:rPr>
          <w:rFonts w:eastAsiaTheme="minorHAnsi"/>
          <w:lang w:val="en-US" w:bidi="ar-SA"/>
        </w:rPr>
        <w:t>connection and</w:t>
      </w:r>
      <w:r w:rsidR="00D12E3A">
        <w:rPr>
          <w:rFonts w:eastAsiaTheme="minorHAnsi"/>
          <w:lang w:val="en-US" w:bidi="ar-SA"/>
        </w:rPr>
        <w:t xml:space="preserve"> paving the </w:t>
      </w:r>
      <w:r w:rsidR="00C92FF7">
        <w:rPr>
          <w:rFonts w:eastAsiaTheme="minorHAnsi"/>
          <w:lang w:val="en-US" w:bidi="ar-SA"/>
        </w:rPr>
        <w:t xml:space="preserve">road </w:t>
      </w:r>
      <w:r w:rsidR="00D12E3A">
        <w:rPr>
          <w:rFonts w:eastAsiaTheme="minorHAnsi"/>
          <w:lang w:val="en-US" w:bidi="ar-SA"/>
        </w:rPr>
        <w:t xml:space="preserve">for </w:t>
      </w:r>
      <w:r w:rsidR="00C92FF7">
        <w:rPr>
          <w:rFonts w:eastAsiaTheme="minorHAnsi"/>
          <w:lang w:val="en-US" w:bidi="ar-SA"/>
        </w:rPr>
        <w:t xml:space="preserve">continued </w:t>
      </w:r>
      <w:r w:rsidR="003843B3">
        <w:rPr>
          <w:rFonts w:eastAsiaTheme="minorHAnsi"/>
          <w:lang w:val="en-US" w:bidi="ar-SA"/>
        </w:rPr>
        <w:t xml:space="preserve">Resource </w:t>
      </w:r>
      <w:r w:rsidR="00D12E3A">
        <w:rPr>
          <w:rFonts w:eastAsiaTheme="minorHAnsi"/>
          <w:lang w:val="en-US" w:bidi="ar-SA"/>
        </w:rPr>
        <w:t xml:space="preserve">growth </w:t>
      </w:r>
      <w:r w:rsidR="003843B3">
        <w:rPr>
          <w:rFonts w:eastAsiaTheme="minorHAnsi"/>
          <w:lang w:val="en-US" w:bidi="ar-SA"/>
        </w:rPr>
        <w:t>at Thor</w:t>
      </w:r>
      <w:r w:rsidR="00F56F29">
        <w:rPr>
          <w:rFonts w:eastAsiaTheme="minorHAnsi"/>
          <w:lang w:val="en-US" w:bidi="ar-SA"/>
        </w:rPr>
        <w:t>.”</w:t>
      </w:r>
    </w:p>
    <w:p w14:paraId="75D6D794" w14:textId="547134F3" w:rsidR="00065F45" w:rsidRPr="00065F45" w:rsidRDefault="00065F45" w:rsidP="00741528">
      <w:pPr>
        <w:jc w:val="both"/>
        <w:rPr>
          <w:rFonts w:eastAsia="STHupo"/>
          <w:b/>
          <w:bCs/>
          <w:lang w:val="en-US" w:bidi="ar-SA"/>
        </w:rPr>
      </w:pPr>
      <w:r w:rsidRPr="00065F45">
        <w:rPr>
          <w:rFonts w:eastAsia="STHupo"/>
          <w:b/>
          <w:bCs/>
          <w:lang w:val="en-US" w:bidi="ar-SA"/>
        </w:rPr>
        <w:t>Qualified Person</w:t>
      </w:r>
    </w:p>
    <w:p w14:paraId="3522C854" w14:textId="77777777" w:rsidR="00065F45" w:rsidRPr="00065F45" w:rsidRDefault="00065F45" w:rsidP="00741528">
      <w:pPr>
        <w:jc w:val="both"/>
        <w:rPr>
          <w:rFonts w:eastAsia="STHupo"/>
          <w:lang w:val="en-US" w:bidi="ar-SA"/>
        </w:rPr>
      </w:pPr>
    </w:p>
    <w:p w14:paraId="2513D52D" w14:textId="01F00D5A" w:rsidR="00885A52" w:rsidRPr="00F74120" w:rsidRDefault="00065F45" w:rsidP="00741528">
      <w:pPr>
        <w:jc w:val="both"/>
        <w:rPr>
          <w:rFonts w:eastAsia="STHupo"/>
          <w:lang w:val="en-US" w:bidi="ar-SA"/>
        </w:rPr>
      </w:pPr>
      <w:r w:rsidRPr="00065F45">
        <w:rPr>
          <w:rFonts w:eastAsia="STHupo"/>
          <w:lang w:val="en-US" w:bidi="ar-SA"/>
        </w:rPr>
        <w:t>Exploration activities at Thor were overseen by John Gardiner (P. Geol.) who is a Qualified Person</w:t>
      </w:r>
      <w:r>
        <w:rPr>
          <w:rFonts w:eastAsia="STHupo"/>
          <w:lang w:val="en-US" w:bidi="ar-SA"/>
        </w:rPr>
        <w:t xml:space="preserve"> </w:t>
      </w:r>
      <w:r w:rsidRPr="00065F45">
        <w:rPr>
          <w:rFonts w:eastAsia="STHupo"/>
          <w:lang w:val="en-US" w:bidi="ar-SA"/>
        </w:rPr>
        <w:t>under the meaning of Canadian National Instrument 43-101.</w:t>
      </w:r>
    </w:p>
    <w:p w14:paraId="4BC9C99B" w14:textId="77777777" w:rsidR="00F74120" w:rsidRDefault="00F74120" w:rsidP="00741528">
      <w:pPr>
        <w:jc w:val="both"/>
        <w:rPr>
          <w:rFonts w:eastAsia="STHupo"/>
          <w:lang w:val="en-US" w:bidi="ar-SA"/>
        </w:rPr>
      </w:pPr>
    </w:p>
    <w:p w14:paraId="789EE4F7" w14:textId="77777777" w:rsidR="001854DA" w:rsidRDefault="001854DA" w:rsidP="0074152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About Taranis Resources Inc.</w:t>
      </w:r>
    </w:p>
    <w:p w14:paraId="02C2D889" w14:textId="77777777" w:rsidR="001854DA" w:rsidRDefault="001854DA" w:rsidP="00741528">
      <w:pPr>
        <w:jc w:val="both"/>
        <w:rPr>
          <w:rFonts w:ascii="Verdana" w:hAnsi="Verdana"/>
          <w:sz w:val="18"/>
          <w:szCs w:val="18"/>
        </w:rPr>
      </w:pPr>
    </w:p>
    <w:p w14:paraId="07F9BC8A" w14:textId="77777777" w:rsidR="001854DA" w:rsidRDefault="001854DA" w:rsidP="00741528">
      <w:pPr>
        <w:jc w:val="both"/>
      </w:pPr>
      <w:r>
        <w:t xml:space="preserve">For additional information on Taranis or its 100%-owned Thor project in British Columbia, visit </w:t>
      </w:r>
      <w:hyperlink r:id="rId9" w:history="1">
        <w:r>
          <w:rPr>
            <w:rStyle w:val="Hyperlink"/>
          </w:rPr>
          <w:t>www.taranisresources.com</w:t>
        </w:r>
      </w:hyperlink>
      <w:r>
        <w:t xml:space="preserve"> </w:t>
      </w:r>
    </w:p>
    <w:p w14:paraId="12C2B987" w14:textId="77777777" w:rsidR="001854DA" w:rsidRDefault="001854DA" w:rsidP="00741528">
      <w:pPr>
        <w:jc w:val="both"/>
      </w:pPr>
    </w:p>
    <w:p w14:paraId="53542DC6" w14:textId="7EA7B26C" w:rsidR="001854DA" w:rsidRDefault="001854DA" w:rsidP="00741528">
      <w:pPr>
        <w:jc w:val="both"/>
      </w:pPr>
      <w:r>
        <w:t xml:space="preserve">Taranis currently has </w:t>
      </w:r>
      <w:r w:rsidR="00182346">
        <w:t>78,995,090</w:t>
      </w:r>
      <w:r>
        <w:t xml:space="preserve"> shares issued and outstanding (8</w:t>
      </w:r>
      <w:r w:rsidR="00182346">
        <w:t>7,182,090</w:t>
      </w:r>
      <w:r>
        <w:t xml:space="preserve"> shares on a fully-diluted basis).</w:t>
      </w:r>
    </w:p>
    <w:p w14:paraId="5F6CE94B" w14:textId="77777777" w:rsidR="001854DA" w:rsidRDefault="001854DA" w:rsidP="001854DA">
      <w:pPr>
        <w:jc w:val="both"/>
      </w:pPr>
    </w:p>
    <w:p w14:paraId="703EDB07" w14:textId="77777777" w:rsidR="001854DA" w:rsidRDefault="001854DA" w:rsidP="001854DA">
      <w:pPr>
        <w:tabs>
          <w:tab w:val="left" w:pos="-720"/>
        </w:tabs>
        <w:suppressAutoHyphens/>
        <w:jc w:val="both"/>
        <w:outlineLvl w:val="0"/>
        <w:rPr>
          <w:spacing w:val="-3"/>
          <w:lang w:val="en-GB"/>
        </w:rPr>
      </w:pPr>
      <w:r>
        <w:rPr>
          <w:spacing w:val="-3"/>
          <w:lang w:val="en-GB"/>
        </w:rPr>
        <w:t>TARANIS RESOURCES INC.</w:t>
      </w:r>
    </w:p>
    <w:p w14:paraId="36659441" w14:textId="77777777" w:rsidR="001854DA" w:rsidRDefault="001854DA" w:rsidP="001854DA">
      <w:pPr>
        <w:tabs>
          <w:tab w:val="left" w:pos="-720"/>
        </w:tabs>
        <w:suppressAutoHyphens/>
        <w:spacing w:before="120"/>
        <w:jc w:val="both"/>
        <w:rPr>
          <w:spacing w:val="-3"/>
          <w:lang w:val="en-GB"/>
        </w:rPr>
      </w:pPr>
      <w:r>
        <w:rPr>
          <w:spacing w:val="-3"/>
          <w:lang w:val="en-GB"/>
        </w:rPr>
        <w:t>Per:</w:t>
      </w:r>
      <w:r>
        <w:rPr>
          <w:spacing w:val="-3"/>
          <w:lang w:val="en-GB"/>
        </w:rPr>
        <w:tab/>
        <w:t>John J. Gardiner (P. Geol.),</w:t>
      </w:r>
    </w:p>
    <w:p w14:paraId="71F54D10" w14:textId="77777777" w:rsidR="001854DA" w:rsidRDefault="001854DA" w:rsidP="001854DA">
      <w:pPr>
        <w:autoSpaceDE w:val="0"/>
        <w:autoSpaceDN w:val="0"/>
        <w:adjustRightInd w:val="0"/>
        <w:ind w:firstLine="720"/>
        <w:outlineLvl w:val="0"/>
        <w:rPr>
          <w:b/>
        </w:rPr>
      </w:pPr>
      <w:r>
        <w:rPr>
          <w:spacing w:val="-3"/>
          <w:lang w:val="en-GB"/>
        </w:rPr>
        <w:t xml:space="preserve">President and </w:t>
      </w:r>
      <w:smartTag w:uri="urn:schemas-microsoft-com:office:smarttags" w:element="stockticker">
        <w:r>
          <w:rPr>
            <w:spacing w:val="-3"/>
            <w:lang w:val="en-GB"/>
          </w:rPr>
          <w:t>CEO</w:t>
        </w:r>
      </w:smartTag>
    </w:p>
    <w:p w14:paraId="6A9A5BA4" w14:textId="77777777" w:rsidR="001854DA" w:rsidRDefault="001854DA" w:rsidP="001854DA">
      <w:pPr>
        <w:rPr>
          <w:b/>
        </w:rPr>
      </w:pPr>
    </w:p>
    <w:p w14:paraId="3EBA9418" w14:textId="77777777" w:rsidR="001854DA" w:rsidRDefault="001854DA" w:rsidP="001854DA">
      <w:pPr>
        <w:rPr>
          <w:b/>
        </w:rPr>
      </w:pPr>
      <w:r>
        <w:rPr>
          <w:b/>
        </w:rPr>
        <w:t>For further information contact:</w:t>
      </w:r>
    </w:p>
    <w:p w14:paraId="16D03DAE" w14:textId="77777777" w:rsidR="001854DA" w:rsidRDefault="001854DA" w:rsidP="001854DA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5220"/>
        <w:gridCol w:w="4244"/>
      </w:tblGrid>
      <w:tr w:rsidR="001854DA" w14:paraId="5E7011DE" w14:textId="77777777" w:rsidTr="001854DA">
        <w:tc>
          <w:tcPr>
            <w:tcW w:w="5220" w:type="dxa"/>
            <w:hideMark/>
          </w:tcPr>
          <w:p w14:paraId="4DDAF156" w14:textId="77777777" w:rsidR="001854DA" w:rsidRDefault="001854DA">
            <w:pPr>
              <w:spacing w:line="256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John J. Gardiner</w:t>
            </w:r>
          </w:p>
          <w:p w14:paraId="636941C3" w14:textId="77777777" w:rsidR="001854DA" w:rsidRDefault="001854DA">
            <w:pPr>
              <w:spacing w:line="256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681 Conifer Lane</w:t>
            </w:r>
          </w:p>
          <w:p w14:paraId="580CC7A8" w14:textId="77777777" w:rsidR="001854DA" w:rsidRDefault="001854DA">
            <w:pPr>
              <w:spacing w:line="256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 xml:space="preserve">Estes Park, Colorado </w:t>
            </w:r>
          </w:p>
          <w:p w14:paraId="7D544E7F" w14:textId="77777777" w:rsidR="001854DA" w:rsidRDefault="001854DA">
            <w:pPr>
              <w:spacing w:line="256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>80517</w:t>
            </w:r>
          </w:p>
          <w:p w14:paraId="26544F81" w14:textId="77777777" w:rsidR="001854DA" w:rsidRDefault="001854DA">
            <w:pPr>
              <w:spacing w:line="256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 xml:space="preserve">Phone: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16$$$"/>
              </w:smartTagPr>
              <w:r>
                <w:rPr>
                  <w:color w:val="000000"/>
                </w:rPr>
                <w:t xml:space="preserve">(303)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716$$$"/>
                </w:smartTagPr>
                <w:r>
                  <w:rPr>
                    <w:color w:val="000000"/>
                  </w:rPr>
                  <w:t>716-5922</w:t>
                </w:r>
              </w:smartTag>
            </w:smartTag>
          </w:p>
          <w:p w14:paraId="0B7ADAF6" w14:textId="77777777" w:rsidR="001854DA" w:rsidRDefault="001854DA">
            <w:pPr>
              <w:spacing w:line="256" w:lineRule="auto"/>
              <w:ind w:left="567"/>
              <w:rPr>
                <w:color w:val="000000"/>
              </w:rPr>
            </w:pPr>
            <w:r>
              <w:rPr>
                <w:color w:val="000000"/>
              </w:rPr>
              <w:t xml:space="preserve">Cell: </w:t>
            </w: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09$$$"/>
              </w:smartTagPr>
              <w:r>
                <w:rPr>
                  <w:color w:val="000000"/>
                </w:rPr>
                <w:t xml:space="preserve">(720) </w:t>
              </w:r>
              <w:smartTag w:uri="urn:schemas-microsoft-com:office:smarttags" w:element="phone">
                <w:smartTagPr>
                  <w:attr w:uri="urn:schemas-microsoft-com:office:office" w:name="ls" w:val="trans"/>
                  <w:attr w:name="phonenumber" w:val="$6209$$$"/>
                </w:smartTagPr>
                <w:r>
                  <w:rPr>
                    <w:color w:val="000000"/>
                  </w:rPr>
                  <w:t>209-3049</w:t>
                </w:r>
              </w:smartTag>
            </w:smartTag>
          </w:p>
          <w:p w14:paraId="032ED3B5" w14:textId="77777777" w:rsidR="001854DA" w:rsidRDefault="00387F54">
            <w:pPr>
              <w:spacing w:line="256" w:lineRule="auto"/>
              <w:ind w:left="567"/>
              <w:rPr>
                <w:color w:val="000000"/>
              </w:rPr>
            </w:pPr>
            <w:hyperlink r:id="rId10" w:history="1">
              <w:r w:rsidR="001854DA">
                <w:rPr>
                  <w:rStyle w:val="Hyperlink"/>
                </w:rPr>
                <w:t>johnjgardiner@earthlink.net</w:t>
              </w:r>
            </w:hyperlink>
          </w:p>
        </w:tc>
        <w:tc>
          <w:tcPr>
            <w:tcW w:w="4244" w:type="dxa"/>
          </w:tcPr>
          <w:p w14:paraId="367C6D0B" w14:textId="77777777" w:rsidR="001854DA" w:rsidRDefault="001854DA">
            <w:pPr>
              <w:spacing w:line="256" w:lineRule="auto"/>
              <w:ind w:left="567"/>
              <w:rPr>
                <w:color w:val="000000"/>
              </w:rPr>
            </w:pPr>
          </w:p>
        </w:tc>
      </w:tr>
    </w:tbl>
    <w:p w14:paraId="0C6A5E73" w14:textId="77777777" w:rsidR="001854DA" w:rsidRDefault="001854DA" w:rsidP="001854DA">
      <w:pPr>
        <w:rPr>
          <w:i/>
          <w:sz w:val="20"/>
          <w:szCs w:val="20"/>
        </w:rPr>
      </w:pPr>
    </w:p>
    <w:p w14:paraId="67B60B5C" w14:textId="77777777" w:rsidR="001854DA" w:rsidRDefault="001854DA" w:rsidP="001854D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NEITHER THE TSX VENTURE EXCHANGE </w:t>
      </w:r>
      <w:smartTag w:uri="urn:schemas-microsoft-com:office:smarttags" w:element="stockticker">
        <w:r>
          <w:rPr>
            <w:i/>
            <w:sz w:val="20"/>
            <w:szCs w:val="20"/>
          </w:rPr>
          <w:t>NOR</w:t>
        </w:r>
      </w:smartTag>
      <w:r>
        <w:rPr>
          <w:i/>
          <w:sz w:val="20"/>
          <w:szCs w:val="20"/>
        </w:rPr>
        <w:t xml:space="preserve"> ITS REGULATION SERVICES PROVIDER (AS THAT TERM IS DEFINED IN THE POLICIES OF THE TSX VENTURE EXCHANGE) ACCEPTS RESPONSIBILITY FOR THE ADEQUACY OR ACCURACY OF THIS NEWS RELEASE.</w:t>
      </w:r>
    </w:p>
    <w:p w14:paraId="4DDEC15B" w14:textId="77777777" w:rsidR="001854DA" w:rsidRDefault="001854DA" w:rsidP="001854DA">
      <w:pPr>
        <w:jc w:val="both"/>
        <w:rPr>
          <w:i/>
          <w:sz w:val="20"/>
          <w:szCs w:val="20"/>
        </w:rPr>
      </w:pPr>
    </w:p>
    <w:p w14:paraId="75ACA057" w14:textId="77777777" w:rsidR="001854DA" w:rsidRDefault="001854DA" w:rsidP="001854DA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This News Release may contain forward looking statements based on assumptions and judgments of management regarding future events or results that may prove to be inaccurate </w:t>
      </w:r>
      <w:proofErr w:type="gramStart"/>
      <w:r>
        <w:rPr>
          <w:i/>
          <w:sz w:val="20"/>
          <w:szCs w:val="20"/>
        </w:rPr>
        <w:t>as a result of</w:t>
      </w:r>
      <w:proofErr w:type="gramEnd"/>
      <w:r>
        <w:rPr>
          <w:i/>
          <w:sz w:val="20"/>
          <w:szCs w:val="20"/>
        </w:rPr>
        <w:t xml:space="preserve"> factors beyond its control, and actual results may differ materially from expected results.</w:t>
      </w:r>
    </w:p>
    <w:p w14:paraId="0A314950" w14:textId="77777777" w:rsidR="001854DA" w:rsidRDefault="001854DA"/>
    <w:sectPr w:rsidR="0018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45F52"/>
    <w:multiLevelType w:val="hybridMultilevel"/>
    <w:tmpl w:val="389A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4DA"/>
    <w:rsid w:val="0001583A"/>
    <w:rsid w:val="00025CFB"/>
    <w:rsid w:val="000268DD"/>
    <w:rsid w:val="00027366"/>
    <w:rsid w:val="00030DD3"/>
    <w:rsid w:val="00030F09"/>
    <w:rsid w:val="00032504"/>
    <w:rsid w:val="0003758B"/>
    <w:rsid w:val="000410FE"/>
    <w:rsid w:val="00044EA8"/>
    <w:rsid w:val="00053836"/>
    <w:rsid w:val="00055046"/>
    <w:rsid w:val="0005526B"/>
    <w:rsid w:val="00056222"/>
    <w:rsid w:val="000603B9"/>
    <w:rsid w:val="00065F45"/>
    <w:rsid w:val="00084AEB"/>
    <w:rsid w:val="00087E15"/>
    <w:rsid w:val="000976BE"/>
    <w:rsid w:val="00097A2B"/>
    <w:rsid w:val="000A1539"/>
    <w:rsid w:val="000A2274"/>
    <w:rsid w:val="000A3F52"/>
    <w:rsid w:val="000A7069"/>
    <w:rsid w:val="000C4CB5"/>
    <w:rsid w:val="000D29F5"/>
    <w:rsid w:val="000D3C3A"/>
    <w:rsid w:val="000E4645"/>
    <w:rsid w:val="000E523C"/>
    <w:rsid w:val="000F437D"/>
    <w:rsid w:val="00102188"/>
    <w:rsid w:val="00104D4D"/>
    <w:rsid w:val="00106993"/>
    <w:rsid w:val="001106AF"/>
    <w:rsid w:val="00110FDA"/>
    <w:rsid w:val="00122BBB"/>
    <w:rsid w:val="0012547B"/>
    <w:rsid w:val="00130FA4"/>
    <w:rsid w:val="001643C8"/>
    <w:rsid w:val="0016444F"/>
    <w:rsid w:val="00166034"/>
    <w:rsid w:val="00182346"/>
    <w:rsid w:val="001854DA"/>
    <w:rsid w:val="001861AF"/>
    <w:rsid w:val="00186A18"/>
    <w:rsid w:val="00187C25"/>
    <w:rsid w:val="001932AD"/>
    <w:rsid w:val="001A05B9"/>
    <w:rsid w:val="001A2406"/>
    <w:rsid w:val="001A4676"/>
    <w:rsid w:val="001A469F"/>
    <w:rsid w:val="001A718F"/>
    <w:rsid w:val="001E0427"/>
    <w:rsid w:val="001E63B2"/>
    <w:rsid w:val="002130B2"/>
    <w:rsid w:val="00213B59"/>
    <w:rsid w:val="0022045A"/>
    <w:rsid w:val="00227033"/>
    <w:rsid w:val="00231182"/>
    <w:rsid w:val="00233B9C"/>
    <w:rsid w:val="00235A5A"/>
    <w:rsid w:val="00240B3F"/>
    <w:rsid w:val="0024228A"/>
    <w:rsid w:val="002574C7"/>
    <w:rsid w:val="00277D3E"/>
    <w:rsid w:val="00280D86"/>
    <w:rsid w:val="00281468"/>
    <w:rsid w:val="00285EC6"/>
    <w:rsid w:val="0028611D"/>
    <w:rsid w:val="0029183F"/>
    <w:rsid w:val="00294C5B"/>
    <w:rsid w:val="00296F54"/>
    <w:rsid w:val="002B53A9"/>
    <w:rsid w:val="002B7338"/>
    <w:rsid w:val="002D2258"/>
    <w:rsid w:val="002D38F5"/>
    <w:rsid w:val="002E2609"/>
    <w:rsid w:val="002F2C28"/>
    <w:rsid w:val="002F4EE4"/>
    <w:rsid w:val="002F7009"/>
    <w:rsid w:val="002F7184"/>
    <w:rsid w:val="00300138"/>
    <w:rsid w:val="003232CE"/>
    <w:rsid w:val="003246CA"/>
    <w:rsid w:val="00331716"/>
    <w:rsid w:val="00334411"/>
    <w:rsid w:val="003355EC"/>
    <w:rsid w:val="0034299F"/>
    <w:rsid w:val="003432F5"/>
    <w:rsid w:val="00347B9B"/>
    <w:rsid w:val="003637EC"/>
    <w:rsid w:val="00370FCA"/>
    <w:rsid w:val="003770F3"/>
    <w:rsid w:val="003806C0"/>
    <w:rsid w:val="003833E7"/>
    <w:rsid w:val="003843B3"/>
    <w:rsid w:val="00387F54"/>
    <w:rsid w:val="003A3EAA"/>
    <w:rsid w:val="003A4259"/>
    <w:rsid w:val="003A635D"/>
    <w:rsid w:val="003B53EF"/>
    <w:rsid w:val="003C787A"/>
    <w:rsid w:val="003F5BA1"/>
    <w:rsid w:val="004012BB"/>
    <w:rsid w:val="00402A2F"/>
    <w:rsid w:val="004035D8"/>
    <w:rsid w:val="00406C25"/>
    <w:rsid w:val="00415B47"/>
    <w:rsid w:val="00416313"/>
    <w:rsid w:val="0041743A"/>
    <w:rsid w:val="00424197"/>
    <w:rsid w:val="004272A4"/>
    <w:rsid w:val="00430D29"/>
    <w:rsid w:val="00445F7D"/>
    <w:rsid w:val="00460DA3"/>
    <w:rsid w:val="00475594"/>
    <w:rsid w:val="00477282"/>
    <w:rsid w:val="00483626"/>
    <w:rsid w:val="00495C49"/>
    <w:rsid w:val="004B39F0"/>
    <w:rsid w:val="004B4BA6"/>
    <w:rsid w:val="004B510A"/>
    <w:rsid w:val="004B72B1"/>
    <w:rsid w:val="004B7ECC"/>
    <w:rsid w:val="004C30D9"/>
    <w:rsid w:val="004C3605"/>
    <w:rsid w:val="004C4E83"/>
    <w:rsid w:val="004C7BDC"/>
    <w:rsid w:val="004D4498"/>
    <w:rsid w:val="004D6F2A"/>
    <w:rsid w:val="004E6936"/>
    <w:rsid w:val="004E740D"/>
    <w:rsid w:val="004F067F"/>
    <w:rsid w:val="00503DA2"/>
    <w:rsid w:val="00503EE2"/>
    <w:rsid w:val="005077B2"/>
    <w:rsid w:val="00511FAD"/>
    <w:rsid w:val="005235A6"/>
    <w:rsid w:val="00532D92"/>
    <w:rsid w:val="00535C80"/>
    <w:rsid w:val="00535D30"/>
    <w:rsid w:val="005367FF"/>
    <w:rsid w:val="00552B07"/>
    <w:rsid w:val="0055313F"/>
    <w:rsid w:val="00560355"/>
    <w:rsid w:val="00562577"/>
    <w:rsid w:val="005666DC"/>
    <w:rsid w:val="00567A38"/>
    <w:rsid w:val="00570A9C"/>
    <w:rsid w:val="00572C92"/>
    <w:rsid w:val="00581399"/>
    <w:rsid w:val="0058650B"/>
    <w:rsid w:val="00587476"/>
    <w:rsid w:val="00595C79"/>
    <w:rsid w:val="005A384E"/>
    <w:rsid w:val="005A505B"/>
    <w:rsid w:val="005A61F1"/>
    <w:rsid w:val="005B12DA"/>
    <w:rsid w:val="005C2DF9"/>
    <w:rsid w:val="005C380C"/>
    <w:rsid w:val="005E207B"/>
    <w:rsid w:val="005F0023"/>
    <w:rsid w:val="005F125A"/>
    <w:rsid w:val="005F33F1"/>
    <w:rsid w:val="0060265A"/>
    <w:rsid w:val="006100FF"/>
    <w:rsid w:val="00617D31"/>
    <w:rsid w:val="00621FE1"/>
    <w:rsid w:val="0062591B"/>
    <w:rsid w:val="00642D67"/>
    <w:rsid w:val="00650B7A"/>
    <w:rsid w:val="00653E0A"/>
    <w:rsid w:val="00655246"/>
    <w:rsid w:val="006561B1"/>
    <w:rsid w:val="00665AC4"/>
    <w:rsid w:val="00665BF4"/>
    <w:rsid w:val="00671402"/>
    <w:rsid w:val="006746B2"/>
    <w:rsid w:val="0069115A"/>
    <w:rsid w:val="00693B74"/>
    <w:rsid w:val="0069708D"/>
    <w:rsid w:val="006A1031"/>
    <w:rsid w:val="006A11D8"/>
    <w:rsid w:val="006A5F24"/>
    <w:rsid w:val="006B0189"/>
    <w:rsid w:val="006B4A10"/>
    <w:rsid w:val="006B590E"/>
    <w:rsid w:val="006B72C9"/>
    <w:rsid w:val="006C2A15"/>
    <w:rsid w:val="006D16A8"/>
    <w:rsid w:val="006D22C0"/>
    <w:rsid w:val="006D5C8F"/>
    <w:rsid w:val="006E20D7"/>
    <w:rsid w:val="006E4B71"/>
    <w:rsid w:val="006E5AC9"/>
    <w:rsid w:val="006F404C"/>
    <w:rsid w:val="006F5DD8"/>
    <w:rsid w:val="006F7D91"/>
    <w:rsid w:val="00703CD7"/>
    <w:rsid w:val="00711983"/>
    <w:rsid w:val="00716B98"/>
    <w:rsid w:val="00722AD1"/>
    <w:rsid w:val="007230F1"/>
    <w:rsid w:val="0073501C"/>
    <w:rsid w:val="00735664"/>
    <w:rsid w:val="00741528"/>
    <w:rsid w:val="00744DE9"/>
    <w:rsid w:val="007503F7"/>
    <w:rsid w:val="00757C3C"/>
    <w:rsid w:val="007603AF"/>
    <w:rsid w:val="00761769"/>
    <w:rsid w:val="007641C6"/>
    <w:rsid w:val="00770F9B"/>
    <w:rsid w:val="007720F3"/>
    <w:rsid w:val="007732B8"/>
    <w:rsid w:val="00783921"/>
    <w:rsid w:val="007A54BA"/>
    <w:rsid w:val="007C1E6F"/>
    <w:rsid w:val="007C673F"/>
    <w:rsid w:val="007C67F3"/>
    <w:rsid w:val="007D485C"/>
    <w:rsid w:val="007D7AF5"/>
    <w:rsid w:val="007E0A4A"/>
    <w:rsid w:val="007E594B"/>
    <w:rsid w:val="007F633F"/>
    <w:rsid w:val="008058A8"/>
    <w:rsid w:val="0081414D"/>
    <w:rsid w:val="008226BD"/>
    <w:rsid w:val="0082670C"/>
    <w:rsid w:val="008274EB"/>
    <w:rsid w:val="008306F8"/>
    <w:rsid w:val="00832265"/>
    <w:rsid w:val="00845E9A"/>
    <w:rsid w:val="00847486"/>
    <w:rsid w:val="008572D0"/>
    <w:rsid w:val="008625C5"/>
    <w:rsid w:val="00865EB5"/>
    <w:rsid w:val="00875CA6"/>
    <w:rsid w:val="00877CA8"/>
    <w:rsid w:val="008815E5"/>
    <w:rsid w:val="00885A52"/>
    <w:rsid w:val="00887304"/>
    <w:rsid w:val="00896302"/>
    <w:rsid w:val="008A159C"/>
    <w:rsid w:val="008A1ED9"/>
    <w:rsid w:val="008A2F65"/>
    <w:rsid w:val="008B03F1"/>
    <w:rsid w:val="008D172F"/>
    <w:rsid w:val="008D577D"/>
    <w:rsid w:val="008D75C2"/>
    <w:rsid w:val="008E34BB"/>
    <w:rsid w:val="008F56C3"/>
    <w:rsid w:val="008F7501"/>
    <w:rsid w:val="00910F30"/>
    <w:rsid w:val="0091659B"/>
    <w:rsid w:val="00930764"/>
    <w:rsid w:val="00930D86"/>
    <w:rsid w:val="0094519B"/>
    <w:rsid w:val="00947A61"/>
    <w:rsid w:val="00953102"/>
    <w:rsid w:val="009647FD"/>
    <w:rsid w:val="00966AA5"/>
    <w:rsid w:val="009679B4"/>
    <w:rsid w:val="00976FBD"/>
    <w:rsid w:val="009807DA"/>
    <w:rsid w:val="00984CA3"/>
    <w:rsid w:val="009907AE"/>
    <w:rsid w:val="009A483E"/>
    <w:rsid w:val="009A535C"/>
    <w:rsid w:val="009A61C2"/>
    <w:rsid w:val="009A72FB"/>
    <w:rsid w:val="009B0DB9"/>
    <w:rsid w:val="009B1114"/>
    <w:rsid w:val="009B168C"/>
    <w:rsid w:val="009C1BB9"/>
    <w:rsid w:val="009C28E4"/>
    <w:rsid w:val="009C5ED8"/>
    <w:rsid w:val="009D11B1"/>
    <w:rsid w:val="009D6868"/>
    <w:rsid w:val="009D7BE7"/>
    <w:rsid w:val="009E16B6"/>
    <w:rsid w:val="009F569A"/>
    <w:rsid w:val="00A00F9E"/>
    <w:rsid w:val="00A05CF8"/>
    <w:rsid w:val="00A0650F"/>
    <w:rsid w:val="00A17598"/>
    <w:rsid w:val="00A20EAB"/>
    <w:rsid w:val="00A20EEB"/>
    <w:rsid w:val="00A21282"/>
    <w:rsid w:val="00A32647"/>
    <w:rsid w:val="00A357E9"/>
    <w:rsid w:val="00A373B7"/>
    <w:rsid w:val="00A43187"/>
    <w:rsid w:val="00A545D6"/>
    <w:rsid w:val="00A5605D"/>
    <w:rsid w:val="00A57522"/>
    <w:rsid w:val="00A663F1"/>
    <w:rsid w:val="00A70715"/>
    <w:rsid w:val="00A754B4"/>
    <w:rsid w:val="00A7599F"/>
    <w:rsid w:val="00A75A5D"/>
    <w:rsid w:val="00A83458"/>
    <w:rsid w:val="00A85417"/>
    <w:rsid w:val="00A87A0A"/>
    <w:rsid w:val="00A94A7B"/>
    <w:rsid w:val="00AA12A0"/>
    <w:rsid w:val="00AA20CD"/>
    <w:rsid w:val="00AA3F3C"/>
    <w:rsid w:val="00AC063D"/>
    <w:rsid w:val="00AC0C86"/>
    <w:rsid w:val="00AD34E5"/>
    <w:rsid w:val="00AD5520"/>
    <w:rsid w:val="00AD5D7C"/>
    <w:rsid w:val="00AE2747"/>
    <w:rsid w:val="00AE73F3"/>
    <w:rsid w:val="00AE7EB0"/>
    <w:rsid w:val="00AF2772"/>
    <w:rsid w:val="00B0383F"/>
    <w:rsid w:val="00B0635F"/>
    <w:rsid w:val="00B12914"/>
    <w:rsid w:val="00B17BB1"/>
    <w:rsid w:val="00B22FBE"/>
    <w:rsid w:val="00B24870"/>
    <w:rsid w:val="00B25B25"/>
    <w:rsid w:val="00B40443"/>
    <w:rsid w:val="00B407A3"/>
    <w:rsid w:val="00B4142F"/>
    <w:rsid w:val="00B421F1"/>
    <w:rsid w:val="00B4725F"/>
    <w:rsid w:val="00B534E4"/>
    <w:rsid w:val="00B654D7"/>
    <w:rsid w:val="00B65C32"/>
    <w:rsid w:val="00B75C77"/>
    <w:rsid w:val="00B84864"/>
    <w:rsid w:val="00B86D63"/>
    <w:rsid w:val="00B93968"/>
    <w:rsid w:val="00B9466E"/>
    <w:rsid w:val="00B95D54"/>
    <w:rsid w:val="00B96221"/>
    <w:rsid w:val="00B97C19"/>
    <w:rsid w:val="00BA1318"/>
    <w:rsid w:val="00BB091F"/>
    <w:rsid w:val="00BB0E8E"/>
    <w:rsid w:val="00BB126F"/>
    <w:rsid w:val="00BB7304"/>
    <w:rsid w:val="00BC0876"/>
    <w:rsid w:val="00BC2C35"/>
    <w:rsid w:val="00BC6A83"/>
    <w:rsid w:val="00BD3E44"/>
    <w:rsid w:val="00BE5576"/>
    <w:rsid w:val="00BF36AD"/>
    <w:rsid w:val="00BF79A7"/>
    <w:rsid w:val="00C005E6"/>
    <w:rsid w:val="00C06C79"/>
    <w:rsid w:val="00C15E47"/>
    <w:rsid w:val="00C2240B"/>
    <w:rsid w:val="00C317C3"/>
    <w:rsid w:val="00C3343D"/>
    <w:rsid w:val="00C36042"/>
    <w:rsid w:val="00C50D52"/>
    <w:rsid w:val="00C531D4"/>
    <w:rsid w:val="00C60D8B"/>
    <w:rsid w:val="00C65F77"/>
    <w:rsid w:val="00C7243A"/>
    <w:rsid w:val="00C842FE"/>
    <w:rsid w:val="00C87D22"/>
    <w:rsid w:val="00C911D6"/>
    <w:rsid w:val="00C92CEB"/>
    <w:rsid w:val="00C92FF7"/>
    <w:rsid w:val="00C963D6"/>
    <w:rsid w:val="00CA50C1"/>
    <w:rsid w:val="00CA54D3"/>
    <w:rsid w:val="00CB18F1"/>
    <w:rsid w:val="00CD0538"/>
    <w:rsid w:val="00CD3883"/>
    <w:rsid w:val="00CD6FFF"/>
    <w:rsid w:val="00CE49B6"/>
    <w:rsid w:val="00CE7E84"/>
    <w:rsid w:val="00CF0CE9"/>
    <w:rsid w:val="00CF1583"/>
    <w:rsid w:val="00CF6299"/>
    <w:rsid w:val="00D12E3A"/>
    <w:rsid w:val="00D16852"/>
    <w:rsid w:val="00D175AE"/>
    <w:rsid w:val="00D17BE3"/>
    <w:rsid w:val="00D226DD"/>
    <w:rsid w:val="00D2357F"/>
    <w:rsid w:val="00D27B53"/>
    <w:rsid w:val="00D31551"/>
    <w:rsid w:val="00D323F9"/>
    <w:rsid w:val="00D33BC5"/>
    <w:rsid w:val="00D4086A"/>
    <w:rsid w:val="00D53CDA"/>
    <w:rsid w:val="00D9087F"/>
    <w:rsid w:val="00D90F49"/>
    <w:rsid w:val="00D93E7C"/>
    <w:rsid w:val="00DA0DBD"/>
    <w:rsid w:val="00DB340B"/>
    <w:rsid w:val="00DC1859"/>
    <w:rsid w:val="00DC4FCC"/>
    <w:rsid w:val="00DC7824"/>
    <w:rsid w:val="00DD1E3C"/>
    <w:rsid w:val="00DE5264"/>
    <w:rsid w:val="00DE53D8"/>
    <w:rsid w:val="00DE68C8"/>
    <w:rsid w:val="00DF118E"/>
    <w:rsid w:val="00DF5144"/>
    <w:rsid w:val="00DF5EB3"/>
    <w:rsid w:val="00E13E6D"/>
    <w:rsid w:val="00E301E5"/>
    <w:rsid w:val="00E5009A"/>
    <w:rsid w:val="00E566BC"/>
    <w:rsid w:val="00E71522"/>
    <w:rsid w:val="00E74C71"/>
    <w:rsid w:val="00E76C2C"/>
    <w:rsid w:val="00E867B9"/>
    <w:rsid w:val="00E95B65"/>
    <w:rsid w:val="00EA128B"/>
    <w:rsid w:val="00EA1BC0"/>
    <w:rsid w:val="00EA2A20"/>
    <w:rsid w:val="00EC5492"/>
    <w:rsid w:val="00EC5E25"/>
    <w:rsid w:val="00ED79E6"/>
    <w:rsid w:val="00EE25DA"/>
    <w:rsid w:val="00EE5650"/>
    <w:rsid w:val="00EE64C8"/>
    <w:rsid w:val="00EF2707"/>
    <w:rsid w:val="00EF5149"/>
    <w:rsid w:val="00F04586"/>
    <w:rsid w:val="00F2390D"/>
    <w:rsid w:val="00F23D07"/>
    <w:rsid w:val="00F25D6D"/>
    <w:rsid w:val="00F318F5"/>
    <w:rsid w:val="00F33BB8"/>
    <w:rsid w:val="00F51C83"/>
    <w:rsid w:val="00F56B0A"/>
    <w:rsid w:val="00F56F29"/>
    <w:rsid w:val="00F60C6F"/>
    <w:rsid w:val="00F726D2"/>
    <w:rsid w:val="00F74120"/>
    <w:rsid w:val="00F75B19"/>
    <w:rsid w:val="00F77060"/>
    <w:rsid w:val="00F82B3B"/>
    <w:rsid w:val="00F830D3"/>
    <w:rsid w:val="00F95FA8"/>
    <w:rsid w:val="00FB7D0F"/>
    <w:rsid w:val="00FC3E45"/>
    <w:rsid w:val="00FC5822"/>
    <w:rsid w:val="00FD0706"/>
    <w:rsid w:val="00FD7D54"/>
    <w:rsid w:val="00FE050C"/>
    <w:rsid w:val="00FE7A74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72168B1"/>
  <w15:chartTrackingRefBased/>
  <w15:docId w15:val="{7FFECD55-5319-437F-AF9F-31A10DF6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854DA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1854DA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1854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75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3C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3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jgmining.com/crosssec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jgmining.com/geologyma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taranisresources.com" TargetMode="External"/><Relationship Id="rId10" Type="http://schemas.openxmlformats.org/officeDocument/2006/relationships/hyperlink" Target="mailto:johnjgardiner@earthlin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anisresour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Gardiner</dc:creator>
  <cp:keywords/>
  <dc:description/>
  <cp:lastModifiedBy>John Gardiner</cp:lastModifiedBy>
  <cp:revision>2</cp:revision>
  <cp:lastPrinted>2022-02-23T17:56:00Z</cp:lastPrinted>
  <dcterms:created xsi:type="dcterms:W3CDTF">2022-02-23T19:21:00Z</dcterms:created>
  <dcterms:modified xsi:type="dcterms:W3CDTF">2022-02-23T19:21:00Z</dcterms:modified>
</cp:coreProperties>
</file>